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424(b)(4)</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333-295160</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8"/>
        </w:rPr>
        <w:t>10,000,000 Shares</w:t>
      </w:r>
    </w:p>
    <w:p>
      <w:pPr>
        <w:pStyle w:val="TextBody"/>
        <w:bidi w:val="0"/>
        <w:spacing w:before="0" w:after="0"/>
        <w:jc w:val="center"/>
        <w:rPr/>
      </w:pPr>
      <w:r>
        <w:rPr/>
      </w:r>
    </w:p>
    <w:p>
      <w:pPr>
        <w:pStyle w:val="TextBody"/>
        <w:bidi w:val="0"/>
        <w:spacing w:before="0" w:after="200"/>
        <w:jc w:val="center"/>
        <w:rPr/>
      </w:pPr>
      <w:r>
        <w:rPr/>
        <w:drawing>
          <wp:inline distT="0" distB="0" distL="0" distR="0">
            <wp:extent cx="36576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8667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is Mobia Medical, Inc.’s initial public offering. We are offering 10,000,000 shares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public offering price is $15.00 per share. Currently, no public market exists for the shares. We have been approved to list our common stock on the Nasdaq Global Select Market under the symbol ‘‘MOBI.’’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We are an “emerging growth company” and a “smaller reporting company” as defined under federal securities laws and are subject to reduced public company disclosure standards. Please see the section titled “Prospectus Summary—Implications of Being an Emerging Growth Company and a Smaller Reporting Company.” </w:t>
      </w:r>
    </w:p>
    <w:p>
      <w:pPr>
        <w:pStyle w:val="TextBody"/>
        <w:bidi w:val="0"/>
        <w:spacing w:lineRule="auto" w:line="288" w:before="0" w:after="180"/>
        <w:jc w:val="left"/>
        <w:rPr/>
      </w:pPr>
      <w:r>
        <w:rPr>
          <w:rFonts w:ascii="Times New Roman;serif" w:hAnsi="Times New Roman;serif"/>
          <w:b/>
          <w:color w:val="000000"/>
          <w:sz w:val="20"/>
        </w:rPr>
        <w:t>Investing in our common stock involves a high degree of risk. Please see section titled “</w:t>
      </w:r>
      <w:hyperlink w:anchor="i46a2e66dfc1442ddbd3162dbb5bf73c2_422">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starting on page </w:t>
      </w:r>
      <w:hyperlink w:anchor="i46a2e66dfc1442ddbd3162dbb5bf73c2_422">
        <w:r>
          <w:rPr>
            <w:rStyle w:val="InternetLink"/>
            <w:rFonts w:ascii="Times New Roman;serif" w:hAnsi="Times New Roman;serif"/>
            <w:b/>
            <w:color w:val="0000FF"/>
            <w:sz w:val="20"/>
            <w:u w:val="single"/>
          </w:rPr>
          <w:t>17</w:t>
        </w:r>
      </w:hyperlink>
      <w:r>
        <w:rPr>
          <w:color w:val="000000"/>
        </w:rPr>
        <w:t xml:space="preserve"> </w:t>
      </w:r>
      <w:r>
        <w:rPr>
          <w:rFonts w:ascii="Times New Roman;serif" w:hAnsi="Times New Roman;serif"/>
          <w:b/>
          <w:color w:val="000000"/>
          <w:sz w:val="20"/>
        </w:rPr>
        <w:t>of this prospectus.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89" w:type="dxa"/>
        <w:jc w:val="left"/>
        <w:tblInd w:w="0" w:type="dxa"/>
        <w:tblLayout w:type="fixed"/>
        <w:tblCellMar>
          <w:top w:w="28" w:type="dxa"/>
          <w:left w:w="28" w:type="dxa"/>
          <w:bottom w:w="28" w:type="dxa"/>
          <w:right w:w="28" w:type="dxa"/>
        </w:tblCellMar>
      </w:tblPr>
      <w:tblGrid>
        <w:gridCol w:w="1330"/>
        <w:gridCol w:w="1170"/>
        <w:gridCol w:w="1175"/>
        <w:gridCol w:w="211"/>
        <w:gridCol w:w="616"/>
        <w:gridCol w:w="109"/>
        <w:gridCol w:w="109"/>
        <w:gridCol w:w="109"/>
        <w:gridCol w:w="109"/>
        <w:gridCol w:w="211"/>
        <w:gridCol w:w="118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public offering price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discounts and commissions </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(1)See the section titled “</w:t>
      </w:r>
      <w:hyperlink w:anchor="i46a2e66dfc1442ddbd3162dbb5bf73c2_245">
        <w:r>
          <w:rPr>
            <w:rStyle w:val="InternetLink"/>
            <w:rFonts w:ascii="Times New Roman;serif" w:hAnsi="Times New Roman;serif"/>
            <w:b w:val="false"/>
            <w:color w:val="0000FF"/>
            <w:sz w:val="16"/>
            <w:u w:val="single"/>
          </w:rPr>
          <w:t>Underwriting</w:t>
        </w:r>
      </w:hyperlink>
      <w:r>
        <w:rPr>
          <w:color w:val="000000"/>
        </w:rPr>
        <w:t xml:space="preserve">” </w:t>
      </w:r>
      <w:r>
        <w:rPr>
          <w:rFonts w:ascii="Times New Roman;serif" w:hAnsi="Times New Roman;serif"/>
          <w:b w:val="false"/>
          <w:color w:val="000000"/>
          <w:sz w:val="16"/>
        </w:rPr>
        <w:t>for a description of the underwriting discounts and commissions and offering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may also exercise their option to purchase up to an additional 1,500,000 shares from us, at the public offering price, less the underwriting discounts and commissions, for 30 days after the date of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will be ready for delivery on or about May 11,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554"/>
        <w:gridCol w:w="554"/>
        <w:gridCol w:w="556"/>
        <w:gridCol w:w="109"/>
        <w:gridCol w:w="109"/>
        <w:gridCol w:w="109"/>
        <w:gridCol w:w="1054"/>
        <w:gridCol w:w="1054"/>
        <w:gridCol w:w="149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BofA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J.P. Morgan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8"/>
              </w:rPr>
            </w:pPr>
            <w:r>
              <w:rPr>
                <w:rFonts w:ascii="Times New Roman;serif" w:hAnsi="Times New Roman;serif"/>
                <w:b/>
                <w:color w:val="000000"/>
                <w:sz w:val="28"/>
              </w:rPr>
              <w:t>Goldman Sachs &amp; Co. LLC</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BTIG</w:t>
            </w:r>
          </w:p>
        </w:tc>
      </w:tr>
    </w:tbl>
    <w:tbl>
      <w:tblPr>
        <w:tblW w:w="3192" w:type="dxa"/>
        <w:jc w:val="left"/>
        <w:tblInd w:w="0" w:type="dxa"/>
        <w:tblLayout w:type="fixed"/>
        <w:tblCellMar>
          <w:top w:w="28" w:type="dxa"/>
          <w:left w:w="28" w:type="dxa"/>
          <w:bottom w:w="28" w:type="dxa"/>
          <w:right w:w="28" w:type="dxa"/>
        </w:tblCellMar>
      </w:tblPr>
      <w:tblGrid>
        <w:gridCol w:w="380"/>
        <w:gridCol w:w="332"/>
        <w:gridCol w:w="332"/>
        <w:gridCol w:w="332"/>
        <w:gridCol w:w="332"/>
        <w:gridCol w:w="332"/>
        <w:gridCol w:w="332"/>
        <w:gridCol w:w="332"/>
        <w:gridCol w:w="488"/>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Wolfe | Nomura Alliance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date of this prospectus is May 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11" w:type="dxa"/>
        <w:jc w:val="left"/>
        <w:tblInd w:w="0" w:type="dxa"/>
        <w:tblLayout w:type="fixed"/>
        <w:tblCellMar>
          <w:top w:w="28" w:type="dxa"/>
          <w:left w:w="28" w:type="dxa"/>
          <w:bottom w:w="28" w:type="dxa"/>
          <w:right w:w="28" w:type="dxa"/>
        </w:tblCellMar>
      </w:tblPr>
      <w:tblGrid>
        <w:gridCol w:w="3494"/>
        <w:gridCol w:w="3067"/>
        <w:gridCol w:w="3084"/>
        <w:gridCol w:w="136"/>
        <w:gridCol w:w="136"/>
        <w:gridCol w:w="194"/>
      </w:tblGrid>
      <w:tr>
        <w:trPr/>
        <w:tc>
          <w:tcPr>
            <w:tcW w:w="3494"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489">
              <w:r>
                <w:rPr>
                  <w:rStyle w:val="InternetLink"/>
                  <w:rFonts w:ascii="Times New Roman;serif" w:hAnsi="Times New Roman;serif"/>
                  <w:b w:val="false"/>
                  <w:color w:val="0000FF"/>
                  <w:sz w:val="20"/>
                  <w:u w:val="single"/>
                </w:rPr>
                <w:t>GENERAL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489">
              <w:r>
                <w:rPr>
                  <w:rStyle w:val="InternetLink"/>
                  <w:rFonts w:ascii="Times New Roman;serif" w:hAnsi="Times New Roman;serif"/>
                  <w:b w:val="false"/>
                  <w:color w:val="0000FF"/>
                  <w:sz w:val="20"/>
                  <w:u w:val="single"/>
                </w:rPr>
                <w:t>ii</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477">
              <w:r>
                <w:rPr>
                  <w:rStyle w:val="InternetLink"/>
                  <w:rFonts w:ascii="Times New Roman;serif" w:hAnsi="Times New Roman;serif"/>
                  <w:b w:val="false"/>
                  <w:color w:val="0000FF"/>
                  <w:sz w:val="20"/>
                  <w:u w:val="single"/>
                </w:rPr>
                <w:t>PROSPECTUS 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477">
              <w:r>
                <w:rPr>
                  <w:rStyle w:val="InternetLink"/>
                  <w:rFonts w:ascii="Times New Roman;serif" w:hAnsi="Times New Roman;serif"/>
                  <w:b w:val="false"/>
                  <w:color w:val="0000FF"/>
                  <w:sz w:val="20"/>
                  <w:u w:val="single"/>
                </w:rPr>
                <w:t>1</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422">
              <w:r>
                <w:rPr>
                  <w:rStyle w:val="InternetLink"/>
                  <w:rFonts w:ascii="Times New Roman;serif" w:hAnsi="Times New Roman;serif"/>
                  <w:b w:val="false"/>
                  <w:color w:val="0000FF"/>
                  <w:sz w:val="20"/>
                  <w:u w:val="single"/>
                </w:rPr>
                <w:t>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422">
              <w:r>
                <w:rPr>
                  <w:rStyle w:val="InternetLink"/>
                  <w:rFonts w:ascii="Times New Roman;serif" w:hAnsi="Times New Roman;serif"/>
                  <w:b w:val="false"/>
                  <w:color w:val="0000FF"/>
                  <w:sz w:val="20"/>
                  <w:u w:val="single"/>
                </w:rPr>
                <w:t>17</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400">
              <w:r>
                <w:rPr>
                  <w:rStyle w:val="InternetLink"/>
                  <w:rFonts w:ascii="Times New Roman;serif" w:hAnsi="Times New Roman;serif"/>
                  <w:b w:val="false"/>
                  <w:color w:val="0000FF"/>
                  <w:sz w:val="20"/>
                  <w:u w:val="single"/>
                </w:rPr>
                <w:t>SPECIAL NOTE REGARDING FORWARD-LOOKING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400">
              <w:r>
                <w:rPr>
                  <w:rStyle w:val="InternetLink"/>
                  <w:rFonts w:ascii="Times New Roman;serif" w:hAnsi="Times New Roman;serif"/>
                  <w:b w:val="false"/>
                  <w:color w:val="0000FF"/>
                  <w:sz w:val="20"/>
                  <w:u w:val="single"/>
                </w:rPr>
                <w:t>80</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89">
              <w:r>
                <w:rPr>
                  <w:rStyle w:val="InternetLink"/>
                  <w:rFonts w:ascii="Times New Roman;serif" w:hAnsi="Times New Roman;serif"/>
                  <w:b w:val="false"/>
                  <w:color w:val="0000FF"/>
                  <w:sz w:val="20"/>
                  <w:u w:val="single"/>
                </w:rPr>
                <w:t>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89">
              <w:r>
                <w:rPr>
                  <w:rStyle w:val="InternetLink"/>
                  <w:rFonts w:ascii="Times New Roman;serif" w:hAnsi="Times New Roman;serif"/>
                  <w:b w:val="false"/>
                  <w:color w:val="0000FF"/>
                  <w:sz w:val="20"/>
                  <w:u w:val="single"/>
                </w:rPr>
                <w:t>82</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78">
              <w:r>
                <w:rPr>
                  <w:rStyle w:val="InternetLink"/>
                  <w:rFonts w:ascii="Times New Roman;serif" w:hAnsi="Times New Roman;serif"/>
                  <w:b w:val="false"/>
                  <w:color w:val="0000FF"/>
                  <w:sz w:val="20"/>
                  <w:u w:val="single"/>
                </w:rPr>
                <w:t>DIVIDEND POLICY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78">
              <w:r>
                <w:rPr>
                  <w:rStyle w:val="InternetLink"/>
                  <w:rFonts w:ascii="Times New Roman;serif" w:hAnsi="Times New Roman;serif"/>
                  <w:b w:val="false"/>
                  <w:color w:val="0000FF"/>
                  <w:sz w:val="20"/>
                  <w:u w:val="single"/>
                </w:rPr>
                <w:t>83</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67">
              <w:r>
                <w:rPr>
                  <w:rStyle w:val="InternetLink"/>
                  <w:rFonts w:ascii="Times New Roman;serif" w:hAnsi="Times New Roman;serif"/>
                  <w:b w:val="false"/>
                  <w:color w:val="0000FF"/>
                  <w:sz w:val="20"/>
                  <w:u w:val="single"/>
                </w:rPr>
                <w:t>CAPITALIZATION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67">
              <w:r>
                <w:rPr>
                  <w:rStyle w:val="InternetLink"/>
                  <w:rFonts w:ascii="Times New Roman;serif" w:hAnsi="Times New Roman;serif"/>
                  <w:b w:val="false"/>
                  <w:color w:val="0000FF"/>
                  <w:sz w:val="20"/>
                  <w:u w:val="single"/>
                </w:rPr>
                <w:t>84</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56">
              <w:r>
                <w:rPr>
                  <w:rStyle w:val="InternetLink"/>
                  <w:rFonts w:ascii="Times New Roman;serif" w:hAnsi="Times New Roman;serif"/>
                  <w:b w:val="false"/>
                  <w:color w:val="0000FF"/>
                  <w:sz w:val="20"/>
                  <w:u w:val="single"/>
                </w:rPr>
                <w:t>DILUTION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56">
              <w:r>
                <w:rPr>
                  <w:rStyle w:val="InternetLink"/>
                  <w:rFonts w:ascii="Times New Roman;serif" w:hAnsi="Times New Roman;serif"/>
                  <w:b w:val="false"/>
                  <w:color w:val="0000FF"/>
                  <w:sz w:val="20"/>
                  <w:u w:val="single"/>
                </w:rPr>
                <w:t>86</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4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45">
              <w:r>
                <w:rPr>
                  <w:rStyle w:val="InternetLink"/>
                  <w:rFonts w:ascii="Times New Roman;serif" w:hAnsi="Times New Roman;serif"/>
                  <w:b w:val="false"/>
                  <w:color w:val="0000FF"/>
                  <w:sz w:val="20"/>
                  <w:u w:val="single"/>
                </w:rPr>
                <w:t>89</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33">
              <w:r>
                <w:rPr>
                  <w:rStyle w:val="InternetLink"/>
                  <w:rFonts w:ascii="Times New Roman;serif" w:hAnsi="Times New Roman;serif"/>
                  <w:b w:val="false"/>
                  <w:color w:val="0000FF"/>
                  <w:sz w:val="20"/>
                  <w:u w:val="single"/>
                </w:rPr>
                <w:t>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33">
              <w:r>
                <w:rPr>
                  <w:rStyle w:val="InternetLink"/>
                  <w:rFonts w:ascii="Times New Roman;serif" w:hAnsi="Times New Roman;serif"/>
                  <w:b w:val="false"/>
                  <w:color w:val="0000FF"/>
                  <w:sz w:val="20"/>
                  <w:u w:val="single"/>
                </w:rPr>
                <w:t>103</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22">
              <w:r>
                <w:rPr>
                  <w:rStyle w:val="InternetLink"/>
                  <w:rFonts w:ascii="Times New Roman;serif" w:hAnsi="Times New Roman;serif"/>
                  <w:b w:val="false"/>
                  <w:color w:val="0000FF"/>
                  <w:sz w:val="20"/>
                  <w:u w:val="single"/>
                </w:rPr>
                <w:t>MANAGEMENT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22">
              <w:r>
                <w:rPr>
                  <w:rStyle w:val="InternetLink"/>
                  <w:rFonts w:ascii="Times New Roman;serif" w:hAnsi="Times New Roman;serif"/>
                  <w:b w:val="false"/>
                  <w:color w:val="0000FF"/>
                  <w:sz w:val="20"/>
                  <w:u w:val="single"/>
                </w:rPr>
                <w:t>138</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89">
              <w:r>
                <w:rPr>
                  <w:rStyle w:val="InternetLink"/>
                  <w:rFonts w:ascii="Times New Roman;serif" w:hAnsi="Times New Roman;serif"/>
                  <w:b w:val="false"/>
                  <w:color w:val="0000FF"/>
                  <w:sz w:val="20"/>
                  <w:u w:val="single"/>
                </w:rPr>
                <w:t>EXECUTIVE AND DIRECTOR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89">
              <w:r>
                <w:rPr>
                  <w:rStyle w:val="InternetLink"/>
                  <w:rFonts w:ascii="Times New Roman;serif" w:hAnsi="Times New Roman;serif"/>
                  <w:b w:val="false"/>
                  <w:color w:val="0000FF"/>
                  <w:sz w:val="20"/>
                  <w:u w:val="single"/>
                </w:rPr>
                <w:t>145</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78">
              <w:r>
                <w:rPr>
                  <w:rStyle w:val="InternetLink"/>
                  <w:rFonts w:ascii="Times New Roman;serif" w:hAnsi="Times New Roman;serif"/>
                  <w:b w:val="false"/>
                  <w:color w:val="0000FF"/>
                  <w:sz w:val="20"/>
                  <w:u w:val="single"/>
                </w:rPr>
                <w:t>CERTAIN RELATIONSHIPS AND RELATED PERSON 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78">
              <w:r>
                <w:rPr>
                  <w:rStyle w:val="InternetLink"/>
                  <w:rFonts w:ascii="Times New Roman;serif" w:hAnsi="Times New Roman;serif"/>
                  <w:b w:val="false"/>
                  <w:color w:val="0000FF"/>
                  <w:sz w:val="20"/>
                  <w:u w:val="single"/>
                </w:rPr>
                <w:t>167</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00">
              <w:r>
                <w:rPr>
                  <w:rStyle w:val="InternetLink"/>
                  <w:rFonts w:ascii="Times New Roman;serif" w:hAnsi="Times New Roman;serif"/>
                  <w:b w:val="false"/>
                  <w:color w:val="0000FF"/>
                  <w:sz w:val="20"/>
                  <w:u w:val="single"/>
                </w:rPr>
                <w:t>PRINCIPAL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00">
              <w:r>
                <w:rPr>
                  <w:rStyle w:val="InternetLink"/>
                  <w:rFonts w:ascii="Times New Roman;serif" w:hAnsi="Times New Roman;serif"/>
                  <w:b w:val="false"/>
                  <w:color w:val="0000FF"/>
                  <w:sz w:val="20"/>
                  <w:u w:val="single"/>
                </w:rPr>
                <w:t>172</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311">
              <w:r>
                <w:rPr>
                  <w:rStyle w:val="InternetLink"/>
                  <w:rFonts w:ascii="Times New Roman;serif" w:hAnsi="Times New Roman;serif"/>
                  <w:b w:val="false"/>
                  <w:color w:val="0000FF"/>
                  <w:sz w:val="20"/>
                  <w:u w:val="single"/>
                </w:rPr>
                <w:t>DESCRIPTION OF CAPITAL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311">
              <w:r>
                <w:rPr>
                  <w:rStyle w:val="InternetLink"/>
                  <w:rFonts w:ascii="Times New Roman;serif" w:hAnsi="Times New Roman;serif"/>
                  <w:b w:val="false"/>
                  <w:color w:val="0000FF"/>
                  <w:sz w:val="20"/>
                  <w:u w:val="single"/>
                </w:rPr>
                <w:t>176</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67">
              <w:r>
                <w:rPr>
                  <w:rStyle w:val="InternetLink"/>
                  <w:rFonts w:ascii="Times New Roman;serif" w:hAnsi="Times New Roman;serif"/>
                  <w:b w:val="false"/>
                  <w:color w:val="0000FF"/>
                  <w:sz w:val="20"/>
                  <w:u w:val="single"/>
                </w:rPr>
                <w:t>SHARES ELIGIBLE FOR FUTURE SALE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67">
              <w:r>
                <w:rPr>
                  <w:rStyle w:val="InternetLink"/>
                  <w:rFonts w:ascii="Times New Roman;serif" w:hAnsi="Times New Roman;serif"/>
                  <w:b w:val="false"/>
                  <w:color w:val="0000FF"/>
                  <w:sz w:val="20"/>
                  <w:u w:val="single"/>
                </w:rPr>
                <w:t>183</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56">
              <w:r>
                <w:rPr>
                  <w:rStyle w:val="InternetLink"/>
                  <w:rFonts w:ascii="Times New Roman;serif" w:hAnsi="Times New Roman;serif"/>
                  <w:b w:val="false"/>
                  <w:color w:val="000080"/>
                  <w:sz w:val="20"/>
                  <w:u w:val="single"/>
                </w:rPr>
                <w:t>MATERIAL U.S. FEDERAL INCOME TAX CONSEQUENCES TO NON-U.S. HOLDERS</w:t>
              </w:r>
            </w:hyperlink>
            <w:hyperlink w:anchor="i46a2e66dfc1442ddbd3162dbb5bf73c2_256">
              <w:r>
                <w:rPr>
                  <w:rStyle w:val="InternetLink"/>
                  <w:rFonts w:ascii="Times New Roman;serif" w:hAnsi="Times New Roman;serif"/>
                  <w:b w:val="false"/>
                  <w:color w:val="000080"/>
                  <w:sz w:val="20"/>
                  <w:u w:val="single"/>
                </w:rPr>
                <w:t xml:space="preserve"> OF OUR 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56">
              <w:r>
                <w:rPr>
                  <w:rStyle w:val="InternetLink"/>
                  <w:rFonts w:ascii="Times New Roman;serif" w:hAnsi="Times New Roman;serif"/>
                  <w:b w:val="false"/>
                  <w:color w:val="0000FF"/>
                  <w:sz w:val="20"/>
                  <w:u w:val="single"/>
                </w:rPr>
                <w:t>186</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45">
              <w:r>
                <w:rPr>
                  <w:rStyle w:val="InternetLink"/>
                  <w:rFonts w:ascii="Times New Roman;serif" w:hAnsi="Times New Roman;serif"/>
                  <w:b w:val="false"/>
                  <w:color w:val="0000FF"/>
                  <w:sz w:val="20"/>
                  <w:u w:val="single"/>
                </w:rPr>
                <w:t>UNDERWRITING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45">
              <w:r>
                <w:rPr>
                  <w:rStyle w:val="InternetLink"/>
                  <w:rFonts w:ascii="Times New Roman;serif" w:hAnsi="Times New Roman;serif"/>
                  <w:b w:val="false"/>
                  <w:color w:val="0000FF"/>
                  <w:sz w:val="20"/>
                  <w:u w:val="single"/>
                </w:rPr>
                <w:t>190</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34">
              <w:r>
                <w:rPr>
                  <w:rStyle w:val="InternetLink"/>
                  <w:rFonts w:ascii="Times New Roman;serif" w:hAnsi="Times New Roman;serif"/>
                  <w:b w:val="false"/>
                  <w:color w:val="0000FF"/>
                  <w:sz w:val="20"/>
                  <w:u w:val="single"/>
                </w:rPr>
                <w:t>LEGAL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34">
              <w:r>
                <w:rPr>
                  <w:rStyle w:val="InternetLink"/>
                  <w:rFonts w:ascii="Times New Roman;serif" w:hAnsi="Times New Roman;serif"/>
                  <w:b w:val="false"/>
                  <w:color w:val="0000FF"/>
                  <w:sz w:val="20"/>
                  <w:u w:val="single"/>
                </w:rPr>
                <w:t>199</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23">
              <w:r>
                <w:rPr>
                  <w:rStyle w:val="InternetLink"/>
                  <w:rFonts w:ascii="Times New Roman;serif" w:hAnsi="Times New Roman;serif"/>
                  <w:b w:val="false"/>
                  <w:color w:val="0000FF"/>
                  <w:sz w:val="20"/>
                  <w:u w:val="single"/>
                </w:rPr>
                <w:t>EXPERTS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23">
              <w:r>
                <w:rPr>
                  <w:rStyle w:val="InternetLink"/>
                  <w:rFonts w:ascii="Times New Roman;serif" w:hAnsi="Times New Roman;serif"/>
                  <w:b w:val="false"/>
                  <w:color w:val="0000FF"/>
                  <w:sz w:val="20"/>
                  <w:u w:val="single"/>
                </w:rPr>
                <w:t>199</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212">
              <w:r>
                <w:rPr>
                  <w:rStyle w:val="InternetLink"/>
                  <w:rFonts w:ascii="Times New Roman;serif" w:hAnsi="Times New Roman;serif"/>
                  <w:b w:val="false"/>
                  <w:color w:val="0000FF"/>
                  <w:sz w:val="20"/>
                  <w:u w:val="single"/>
                </w:rPr>
                <w:t>WHERE YOU CAN FIND ADDITIONAL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212">
              <w:r>
                <w:rPr>
                  <w:rStyle w:val="InternetLink"/>
                  <w:rFonts w:ascii="Times New Roman;serif" w:hAnsi="Times New Roman;serif"/>
                  <w:b w:val="false"/>
                  <w:color w:val="0000FF"/>
                  <w:sz w:val="20"/>
                  <w:u w:val="single"/>
                </w:rPr>
                <w:t>199</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314">
              <w:r>
                <w:rPr>
                  <w:rStyle w:val="InternetLink"/>
                  <w:rFonts w:ascii="Times New Roman;serif" w:hAnsi="Times New Roman;serif"/>
                  <w:b w:val="false"/>
                  <w:color w:val="0000FF"/>
                  <w:sz w:val="20"/>
                  <w:u w:val="single"/>
                </w:rPr>
                <w:t>INDEX TO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314">
              <w:r>
                <w:rPr>
                  <w:rStyle w:val="InternetLink"/>
                  <w:rFonts w:ascii="Times New Roman;serif" w:hAnsi="Times New Roman;serif"/>
                  <w:b w:val="false"/>
                  <w:color w:val="0000FF"/>
                  <w:sz w:val="20"/>
                  <w:u w:val="single"/>
                </w:rPr>
                <w:t>F-1</w:t>
              </w:r>
            </w:hyperlink>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prospectus to “Mobia,” “Mobia Medical,” the “Company,” “we,” “us,” or “our” refers to Mobia Medical, Inc., a Delaware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and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pStyle w:val="TextBody"/>
        <w:bidi w:val="0"/>
        <w:spacing w:lineRule="auto" w:line="288" w:before="0" w:after="180"/>
        <w:jc w:val="left"/>
        <w:rPr/>
      </w:pPr>
      <w:r>
        <w:rPr>
          <w:rFonts w:ascii="Times New Roman;serif" w:hAnsi="Times New Roman;serif"/>
          <w:b/>
          <w:color w:val="000000"/>
          <w:sz w:val="20"/>
        </w:rPr>
        <w:t>For investors outside the United States</w:t>
      </w:r>
      <w:r>
        <w:rPr>
          <w:rFonts w:ascii="Times New Roman;serif" w:hAnsi="Times New Roman;serif"/>
          <w:b w:val="false"/>
          <w:color w:val="000000"/>
          <w:sz w:val="20"/>
        </w:rPr>
        <w:t>: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Industry, Market and Other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estimates, projections, and other information concerning our industry and our business, as well as data regarding market research, estimates, and forecasts prepared by our management and third parties.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the market and industry data included in this prospectus are reliable and are based on reasonable assumptions, these data and the industry in which we operate are subject to a high degree of uncertainty and risk due to a variety of factors, including those described in the section titled “Risk Factors.” These and other factors could cause results to differ materially from those expressed in these estimates, publications, and reports made by third parties or us.</w:t>
      </w:r>
    </w:p>
    <w:p>
      <w:pPr>
        <w:pStyle w:val="TextBody"/>
        <w:bidi w:val="0"/>
        <w:spacing w:lineRule="auto" w:line="288" w:before="0" w:after="180"/>
        <w:jc w:val="left"/>
        <w:rPr/>
      </w:pPr>
      <w:r>
        <w:rPr>
          <w:rFonts w:ascii="Times New Roman;serif" w:hAnsi="Times New Roman;serif"/>
          <w:b w:val="false"/>
          <w:color w:val="000000"/>
          <w:sz w:val="20"/>
        </w:rPr>
        <w:t xml:space="preserve">Unless otherwise expressly stated, we obtained such industry, business, market, and other data from reports, research surveys, studies, and similar data prepared by market research firms and other third parties, industry and general publications, government data, and similar sources. For example, information regarding the timing and number of strokes in the United States annually, the percentage of ischemic strokes, stroke prevalence in the United States, number of stroke survivors, and estimated annual healthcare burden of ischemic stroke is based on information in 2025 Heart Disease and Stroke Statistics: A Report of US and Global Data From the American Heart Association, published in </w:t>
      </w:r>
      <w:r>
        <w:rPr>
          <w:rFonts w:ascii="Times New Roman;serif" w:hAnsi="Times New Roman;serif"/>
          <w:b w:val="false"/>
          <w:i/>
          <w:color w:val="000000"/>
          <w:sz w:val="20"/>
        </w:rPr>
        <w:t>Circulation</w:t>
      </w:r>
      <w:r>
        <w:rPr>
          <w:rFonts w:ascii="Times New Roman;serif" w:hAnsi="Times New Roman;serif"/>
          <w:b w:val="false"/>
          <w:color w:val="000000"/>
          <w:sz w:val="20"/>
        </w:rPr>
        <w:t>, a peer-reviewed medical journal published by the American Heart Association, in 2025. In some cases, we do not expressly refer to the sources from which this data is derived. The content of these third-party sources, except to the extent specifically set forth in this prospectus, does not constitute a portion of this prospectus and is not incorporated 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Mobia,” “Mobia Medical,” “MicroTransponder,” “Vivistim,” “Paired VNS,” and the Mobia, Mobia Medical, Vivistim and Paired VNS logos and our other registered or common law trademarks appearing in this prospectus are the property of Mobia Medical, Inc.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the omission of such references is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financial statements included elsewhere in this prospectus. Accordingly, certain other figures and amounts that appear as totals in this prospectus may not be the arithmetic aggregation of the figures or amounts that precede them, and figures or amounts expressed as a percentage may not total 100% or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PROSPECTUS SUMMARY </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“Special Note Regarding Forward-Looking Statements,” “Business,” “Management’s Discussion and Analysis of Financial Condition and Results of Operations” and our financial statements and related notes included elsewhere in this prospectus.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commercial-stage medical device company redefining stroke recovery for survivors living with life-altering motor impairments. Our Vivistim Paired Vagus Nerve Stimulation (Paired VNS) System is the first and only clinically-validated, FDA-approved solution for chronic ischemic stroke survivors with moderate to severe upper extremity impairments. Stroke is one of the leading causes of long-term disability in the United States. While advancements in acute stroke care over the past decade have significantly reduced mortality, innovation for chronic stroke recovery has lagged, resulting in a growing number of stroke survivors living with meaningful impairments. Our breakthrough Vivistim Paired VNS System (Vivistim System) addresses this unmet need. The Vivistim System includes an implanted pulse generator and lead that deliver stimulation to the vagus nerve when activated. During treatment (Vivistim Therapy), intentional bursts of stimulation are delivered during functional movement to increase neuroplasticity and durably restore motor function. Clinical data has demonstrated that Vivistim Therapy delivers meaningful improvements in upper limb function, which can help stroke survivors regain critical capabilities and independence and restore quality of life, regardless of the time elapsed since the patient’s stroke. We believe we are setting a new standard of care in chronic stroke recovery, facilitating a new treatment pathway for chronic ischemic stroke survivors with moderate to severe upper extremity impairments. We have experienced rapid growth since our full commercial launch in 2023, and physicians have performed over 1,000 implants, including approximately 700 in 2025.</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the United States, a stroke occurs every 40 seconds and approximately 800,000 strokes occur annually, according to a report published by the American Heart Association (AHA) in 2025. Stroke occurs when blood flow to a region of the brain is suddenly interrupted, either because an artery becomes blocked in the case of an ischemic stroke, or because a weakened blood vessel ruptures in the case of a hemorrhagic stroke. For stroke survivors, the interruption of blood flow to the brain can result in lasting motor, cognitive, visual, and language impairments, including weakness or hemiparesis affecting the extremities. Based on a report published by the AHA in 2025, we estimate that there are currently approximately 10 million stroke survivors in the United States, the majority of whom are living with chronic impairments.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Chronic ischemic stroke is a serious medical condition characterized by physical and cognitive impairments that persist beyond the first three to six months post-stroke. These impairments can materially diminish a patient’s independence and quality of life. According to a report published by the AHA in 2025, ischemic stroke is a leading cause of serious long-term impairment for adults in the United States and has an estimated annual healthcare burden of more than $25 billion.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Chronic stroke recovery presents a significant market opportunity. According to the AHA, approximately 87% of the strokes in the United States are ischemic. This equates to approximately 9 million ischemic stroke survivors in the United States, of which we estimate that more than 4 million are chronic ischemic stroke survivors living with moderate to severe upper extremity impairment. This population falls within the current on-label indication for the Vivistim System. We believe that an initial market opportunity comprises approximately 1 million of those survivors that demonstrate the requisite overall health, cognition and motivation to participate in therapy and have received some amount of post-stroke therapy, which we estimate represents an initial market opportunity of over $30 billion based on the average selling price of the Vivistim System. Vivistim Therapy is effective for recent stroke survivors as well as patients who initiate treatment many years post-stroke.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There is no standard of care for motor recovery in the chronic stage of stroke. After the initial three- to six-month sub-acute phase post-stroke, patients typically reach a functional plateau with conventional physical rehabilitation and have limited options to continue improving. As a result, we believe that there is a large population of highly motivated stroke survivors who have few proven options.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breakthrough Vivistim System is the first and only FDA-approved solution for chronic ischemic stroke survivors with moderate to severe upper extremity impairments. The Vivistim System facilitates Vivistim Therapy, which has been clinically proven to significantly improve upper limb function and help patients regain critical capabilities and independence. Vivistim Therapy leverages neuroplasticity – the ability of the nervous system to adapt and reorganize its connections – to improve upper limb function in patients with chronic stroke. The Vivistim System includes an implantable device that stimulates the vagus nerve only when intentionally activated, triggering the release of neuromodulators. These neuromodulators create a heightened state of plasticity in the brain, such that neural networks can more readily adapt and reform in response to stimuli. When functional movements, such as goal- or task-oriented exercises and movements, are performed in the presence of these increased neuromodulators, the brain can create new neural connections and strengthen existing connections to a degree that would otherwise not be possible, enabling lasting improvements in motor pathways and creating greater potential for recovery.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Shortly after device implantation, patients begin Vivistim Therapy with a physical or occupational therapist. This therapy does not require patient-specific programming. In the clinic, the therapist uses a remote to activate the Vivistim System during task-specific practice, such as reaching for and grasping objects. Patients continue Vivistim Therapy at home, both during their in-clinic therapy protocol and, if desired, in the months and years that follow. At home, patients easily activate stimulation sessions by swiping the Vivistim magnet over the Vivistim implanted pulse generator (IPG) implant site, which initiates 30 minutes of periodic stimulation pulses. Patients can perform this therapy at home or during their activities of daily living to further reinforce their neural retraining. We believe the ability for patients to observe real, tangible improvements in their ability to perform activities of daily living can encourage ongoing engagement with at-home therapy, helping patients to sustain their efforts and achieve meaningful, lasting functional improvement over time.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believe we are setting a new standard of care in chronic stroke recovery, facilitating a new treatment pathway for chronic ischemic stroke patients with moderate to severe upper extremity impairment. We believe Vivistim Therapy offers these patients a number of key benefits, including the first and only FDA-approved device clinically proven to deliver significant improvements in upper limb function; significant clinical improvement even for patients who initiate treatment many years post-stroke; durable improvements underpinned by a clinically proven mechanism of action; high patient and therapist satisfaction; and a safe and minimally invasive outpatient procedure.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building a robust body of clinical evidence supporting the safety, efficacy, durability, and well-understood mechanism of action of Vivistim Therapy, with additional trials ongoing and planned in 2026 and beyond. In our pivotal, triple-blind, randomized, sham-controlled VNS-REHAB trial, Vivistim Therapy resulted in an approximately two-times greater, as measured by Fugl-Meyer Assessment of Upper Extremity (FMA-UE), and approximately three-times greater, as measured by Wolf Motor Function Test (WMFT), improvement in hand and arm function compared to intensive rehabilitation alone, at the end of the in-clinic and at-home therapy protocol. Data from the trial also demonstrated a favorable safety profile, with no severe adverse events, serious adverse events or unanticipated adverse events associated with the Vivistim System. While implantation can result in procedure-related complications, such as post-operative pain and infection, the rate of surgical complications that did not resolve within a few weeks was less than 1% in the VNS-REHAB trial. These results highlight Vivistim Therapy’s distinctive ability to drive substantial neuroplastic adaptations and functional gains, which we believe sets it apart as the only therapy with robust clinical evidence for effective post-stroke motor recovery. Looking ahead, our GRASP registry is collecting real-world evidence to reinforce the durable benefits of Vivistim Therapy. We believe patient access is key to gaining market acceptance, and we remain committed to expanding patient access by developing additional evidence that further validates the benefits of Vivistim Therapy, accelerates market adoption, strengthens proof of its clinical utility, and supports broader reimbursement coverage decisions.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continue to optimize our commercial model to support the adoption of Vivistim Therapy and gain further market acceptance. Our strategy is tailored to our unique patient and customer dynamics. Stroke survivors living with life-altering functional impairment can self-identify and are highly motivated to seek effective, long-lasting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solutions. These patients are often supported by dedicated advocates who create a strong network of care and commitment. Our target customer base consists of a highly concentrated group of approximately 1,500 primary and comprehensive stroke centers in the United States, which are hospitals that have cross-functional teams with the capabilities to treat acute stroke at the highest level of care and in compliance with AHA guidelines. These stroke centers, which are typically surrounded by a network of therapy sites with neurorehabilitation capabilities, provide the infrastructure for efficient implementation of Vivistim Therapy.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 novel treatment, expanding market acceptance depends in part upon our ability to educate healthcare providers and others as to the distinctive characteristics, clinical and benefits, safety, durability and ease of use of Vivistim Therapy. We believe we have implemented highly effective initiatives for generating a consistent funnel of Vivistim Therapy candidates through physician and therapist referrals, as well as direct patient engagement. Stroke survivors interact with a diverse network of care providers who help identify and evaluate candidates. We directly engage each of these stakeholders through specialized events, summits, and conferences as well as through our field-based commercial team. Our commercial organization is responsible for driving adoption of the Vivistim System through customer outreach, education, and relationship management activities. Our team includes Territory Managers (TMs), who support initial customer onboarding efforts at stroke centers and maintain commercial relationships with physicians and administrators, and Therapy Development Specialists (TDSs), who focus on outreach to therapy sites and provide general educational information regarding the clinical use of the Vivistim System. These activities are intended to facilitate customer adoption and utilization of the Vivistim System.</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commitment to offering life-changing treatments drives our passion for innovation through continuous research and development. We commenced development efforts in 2007 with an aim to pursue initial research from the University of Texas regarding the effects of vagus nerve stimulation. By early 2013, we began focusing on paired vagus nerve stimulation therapy for stroke recovery, working with a small team of fewer than ten engineers, clinicians and scientists. Over several years, this work led to the development and clinical testing of our Vivistim System, including through our feasibility, pilot and pivotal trials from 2014 to 2021. Following the results of our pivotal trial, we submitted a premarket approval (PMA) application to the FDA in March 2021. The Vivistim System received PMA approval from the FDA in 2021 and is classified by the FDA as a Class III device. In 2021, the Vivistim System was granted breakthrough device status under the FDA’s Breakthrough Devices Program. We aim to build upon these development efforts and leverage our internal expertise, clinical insights and experience gained from developing the Vivistim System to assess and prioritize research and development initiatives.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Vivistim System implantation procedure falls under a long-established Category 1 CPT code. Effective January 1, 2026, this CPT code was assigned to a New Technology Ambulatory Payment Classification (APC) by the Centers for Medicare and Medicaid Services (CMS), establishing an elevated payment level that we believe will support sustainable access for Medicare beneficiaries. Coverage for Vivistim Therapy varies by payor. As there are currently no national coverage determinations or local coverage determinations specific to Vivistim Therapy, coverage for Medicare fee-for-service patients is made on a case-by-case basis and patients are typically able to access Vivistim Therapy when medically necessary, without prior authorization. Currently, most commercial insurers have determined that Vivistim Therapy is experimental or investigational and therefore, not covered. To that end, commercial insurance, Medicaid and Medicare Advantage generally require prior authorization. Our in-house market access team supports providers by facilitating administrative aspects of the prior authorization process, including assisting with documentation and submissions to payors in advance of implantation. As part of our longer term strategy, our market access team plans to continue to engage with payors to communicate clinical and health economic data which may impact coverage policies. We believe that expanded payor coverage will facilitate broader patient access to Vivistim Therapy.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experienced rapid growth since our full commercial launch in 2023. We recognized revenue of $32.0 million for the year ended December 31, 2025, compared to revenue of $15.6 million for the year ended December 31, 2024, representing 104.8% year-over-year growth. For the year ended December 31, 2025, we recognized a gross margin of 81.1% and a net loss of $46.5 million, compared to a gross margin of 79.6% and a net loss of $24.6 million for the year ended December 31, 2024. As of December 31, 2025, we had an accumulated deficit of approximately $157.8 million.</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Overview of Chronic Stroke Impairment </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In the United States, a stroke occurs every 40 seconds and approximately 800,000 strokes occur annually, according to a report published by the AHA in 2025. Based on the same report, we estimate that</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 xml:space="preserve">there are approximately 10 million stroke survivors in the United States, the majority of whom are living with chronic impairments. Chronic ischemic stroke is a serious medical condition characterized by physical and cognitive impairments that persist beyond the first three to six months post-stroke. The first three to six months after a stroke are commonly referred to as the sub-acute phase. These impairments can materially diminish a patient’s independence and quality of life. </w:t>
      </w:r>
      <w:r>
        <w:rPr>
          <w:rFonts w:ascii="Times New Roman;serif" w:hAnsi="Times New Roman;serif"/>
          <w:b w:val="false"/>
          <w:color w:val="000000"/>
          <w:sz w:val="20"/>
          <w:bdr w:val="single" w:sz="8" w:space="36" w:color="000000"/>
        </w:rPr>
        <w:t xml:space="preserve">According to a report published by the AHA in 2025, ischemic </w:t>
      </w:r>
      <w:r>
        <w:rPr>
          <w:rFonts w:ascii="Times New Roman;serif" w:hAnsi="Times New Roman;serif"/>
          <w:b w:val="false"/>
          <w:color w:val="000000"/>
          <w:sz w:val="20"/>
          <w:bdr w:val="single" w:sz="8" w:space="36" w:color="000000"/>
          <w:shd w:fill="FFFFFF" w:val="clear"/>
        </w:rPr>
        <w:t>stroke is a leading cause of serious long-term impairment for adults in the United States and has an estimated annual healthcare burden of more than $25 billion.</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Chronic upper extremity impairment is among the most common and disabling consequences of stroke, with millions of survivors experiencing weakness, loss of coordination, reduced dexterity, and impaired function in the arm and hand, persisting for more than three to six months post-stroke.</w:t>
      </w:r>
      <w:r>
        <w:rPr>
          <w:color w:val="000000"/>
          <w:bdr w:val="single" w:sz="8" w:space="36" w:color="000000"/>
        </w:rPr>
        <w:t xml:space="preserve"> </w:t>
      </w:r>
      <w:r>
        <w:rPr>
          <w:rFonts w:ascii="Times New Roman;serif" w:hAnsi="Times New Roman;serif"/>
          <w:b w:val="false"/>
          <w:color w:val="000000"/>
          <w:sz w:val="20"/>
          <w:bdr w:val="single" w:sz="8" w:space="36" w:color="000000"/>
          <w:shd w:fill="FFFFFF" w:val="clear"/>
        </w:rPr>
        <w:t>These impairments significantly limit the patients’ ability to perform activities of daily living, such as eating, dressing, bathing, and personal care, can impede a survivor’s ability to return to their profession, and can have a profound impact on functional independence and quality of life.</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While advancements in acute stroke care have helped to significantly reduce the stroke mortality rate in the United States over time, effective therapeutic options for post-stroke recovery have not advanced, and there is no standard of care for motor recovery in the chronic stage of stroke. The standard of care for post-stroke recovery in the sub-acute phase consists of several weeks or months of conventional occupational or physical rehabilitation therapy, although many patients do not receive any rehabilitation therapy at all due to lack of access or motivation. While stroke patients can, and often do, make some physical and cognitive improvements during the acute and sub-acute phases when neuroplasticity is the highest, a substantial proportion of patients continue living with long-term motor impairments and associated complications. We believe there is limited data demonstrating the clinical efficacy of conventional rehabilitation therapy beyond the sub-acute phase, leaving many patients with chronic deficits in functionality</w:t>
      </w:r>
      <w:r>
        <w:rPr>
          <w:rFonts w:ascii="Times New Roman;serif" w:hAnsi="Times New Roman;serif"/>
          <w:b w:val="false"/>
          <w:color w:val="000000"/>
          <w:sz w:val="20"/>
          <w:bdr w:val="single" w:sz="8" w:space="36" w:color="000000"/>
        </w:rPr>
        <w:t xml:space="preserve">. In addition, we believe that </w:t>
      </w:r>
      <w:r>
        <w:rPr>
          <w:rFonts w:ascii="Times New Roman;serif" w:hAnsi="Times New Roman;serif"/>
          <w:b w:val="false"/>
          <w:color w:val="000000"/>
          <w:sz w:val="20"/>
          <w:bdr w:val="single" w:sz="8" w:space="36" w:color="000000"/>
          <w:shd w:fill="FFFFFF" w:val="clear"/>
        </w:rPr>
        <w:t xml:space="preserve">conventional rehabilitation therapy has experienced limited adoption or continuation in the chronic phase </w:t>
      </w:r>
      <w:r>
        <w:rPr>
          <w:rFonts w:ascii="Times New Roman;serif" w:hAnsi="Times New Roman;serif"/>
          <w:b w:val="false"/>
          <w:color w:val="000000"/>
          <w:sz w:val="20"/>
          <w:bdr w:val="single" w:sz="8" w:space="36" w:color="000000"/>
        </w:rPr>
        <w:t>and that</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 xml:space="preserve">these patients have generally not had an effective therapeutic option for continued recovery. </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Our Market Opportunity </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Based on a report published by the AHA in 2025, we estimate that there are currently approximately 10 million stroke survivors in the United States. According to the AHA, approximately 87% of strokes are ischemic. This equates to approximately 9 million ischemic stroke survivors in the United States. Based on our analysis of third-party publications, we estimate that more than 4 million of these survivors are chronic ischemic stroke survivors living with moderate to severe upper extremity impairment. For example, according to several third-party publications, up to two-thirds of stroke survivors continue to experience upper extremity disability at six months post-stroke (</w:t>
      </w:r>
      <w:r>
        <w:rPr>
          <w:rFonts w:ascii="Times New Roman;serif" w:hAnsi="Times New Roman;serif"/>
          <w:b w:val="false"/>
          <w:i/>
          <w:color w:val="000000"/>
          <w:sz w:val="20"/>
          <w:bdr w:val="single" w:sz="8" w:space="36" w:color="000000"/>
        </w:rPr>
        <w:t>e.g.</w:t>
      </w:r>
      <w:r>
        <w:rPr>
          <w:rFonts w:ascii="Times New Roman;serif" w:hAnsi="Times New Roman;serif"/>
          <w:b w:val="false"/>
          <w:color w:val="000000"/>
          <w:sz w:val="20"/>
          <w:bdr w:val="single" w:sz="8" w:space="36" w:color="000000"/>
        </w:rPr>
        <w:t xml:space="preserve">, Lang CE, et al., </w:t>
      </w:r>
      <w:r>
        <w:rPr>
          <w:rFonts w:ascii="Times New Roman;serif" w:hAnsi="Times New Roman;serif"/>
          <w:b w:val="false"/>
          <w:i/>
          <w:color w:val="000000"/>
          <w:sz w:val="20"/>
          <w:bdr w:val="single" w:sz="8" w:space="36" w:color="000000"/>
        </w:rPr>
        <w:t>Observation of amounts of movement practice provided during stroke rehabilitation</w:t>
      </w:r>
      <w:r>
        <w:rPr>
          <w:rFonts w:ascii="Times New Roman;serif" w:hAnsi="Times New Roman;serif"/>
          <w:b w:val="false"/>
          <w:color w:val="000000"/>
          <w:sz w:val="20"/>
          <w:bdr w:val="single" w:sz="8" w:space="36" w:color="000000"/>
        </w:rPr>
        <w:t xml:space="preserve">, Arch Phys Med Rehabil. 2009 Oct;90(10):1692-8; and Kwakkel G, Kollen BJ, van der Grond J, Prevo AJ., </w:t>
      </w:r>
      <w:r>
        <w:rPr>
          <w:rFonts w:ascii="Times New Roman;serif" w:hAnsi="Times New Roman;serif"/>
          <w:b w:val="false"/>
          <w:i/>
          <w:color w:val="000000"/>
          <w:sz w:val="20"/>
          <w:bdr w:val="single" w:sz="8" w:space="36" w:color="000000"/>
        </w:rPr>
        <w:t>Probability of regaining dexterity in the flaccid upper limb: impact of severity of paresis and time since onset in acute stroke</w:t>
      </w:r>
      <w:r>
        <w:rPr>
          <w:rFonts w:ascii="Times New Roman;serif" w:hAnsi="Times New Roman;serif"/>
          <w:b w:val="false"/>
          <w:color w:val="000000"/>
          <w:sz w:val="20"/>
          <w:bdr w:val="single" w:sz="8" w:space="36" w:color="000000"/>
        </w:rPr>
        <w:t xml:space="preserve">, Stroke, Volume 34, Number 9, 2181-6 (2003), and approximately 81% of stroke survivors with upper extremity disability after six months post-stroke have moderate to severe upper extremity impairment (Woytowicz E, et al., </w:t>
      </w:r>
      <w:r>
        <w:rPr>
          <w:rFonts w:ascii="Times New Roman;serif" w:hAnsi="Times New Roman;serif"/>
          <w:b w:val="false"/>
          <w:i/>
          <w:color w:val="000000"/>
          <w:sz w:val="20"/>
          <w:bdr w:val="single" w:sz="8" w:space="36" w:color="000000"/>
        </w:rPr>
        <w:t>Determining Levels of Upper Extremity Movement Impairment by Applying a Cluster Analysis to the Fugl-Meyer Assessment of the Upper Extremity in Chronic Stroke</w:t>
      </w:r>
      <w:r>
        <w:rPr>
          <w:rFonts w:ascii="Times New Roman;serif" w:hAnsi="Times New Roman;serif"/>
          <w:b w:val="false"/>
          <w:color w:val="000000"/>
          <w:sz w:val="20"/>
          <w:bdr w:val="single" w:sz="8" w:space="36" w:color="000000"/>
        </w:rPr>
        <w:t>, Archives of Physical Medicine and Rehabilitation, 2016; 98, 456-462). We expect this large prevalence population to continue to grow over time, driven by, among others, increasing stroke survival rates due to improvements in acute thrombectomy therapies and increasing stroke incidence rates among young adults.</w:t>
      </w:r>
      <w:r>
        <w:rPr>
          <w:color w:val="000000"/>
          <w:bdr w:val="single" w:sz="8" w:space="36" w:color="000000"/>
        </w:rPr>
        <w:t xml:space="preserve">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Based on our FDA-approved, on-label indication for the Vivistim System, we estimate that our total addressable market opportunity in the United States consists of the approximately 4 million chronic ischemic stroke survivors living with moderate to severe upper extremity impairment. While we are pursuing this total addressable market, we believe an initial market opportunity comprises stroke survivors that demonstrate the requisite overall health,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cognition and motivation to participate in therapy and have received some amount of post-stroke therapy. According to the AHA, two-thirds of stroke survivors receive rehabilitation therapy following a stroke. This rate of therapy generally decreases over time, with one study published in </w:t>
      </w:r>
      <w:r>
        <w:rPr>
          <w:rFonts w:ascii="Times New Roman;serif" w:hAnsi="Times New Roman;serif"/>
          <w:b w:val="false"/>
          <w:i/>
          <w:color w:val="000000"/>
          <w:sz w:val="20"/>
          <w:bdr w:val="single" w:sz="8" w:space="36" w:color="000000"/>
        </w:rPr>
        <w:t>Stroke</w:t>
      </w:r>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in 2023 concluding that the rate of conventional occupational therapy decreases to 21% in the three to six months following a stroke (Young, Bittany et al., </w:t>
      </w:r>
      <w:r>
        <w:rPr>
          <w:rFonts w:ascii="Times New Roman;serif" w:hAnsi="Times New Roman;serif"/>
          <w:b w:val="false"/>
          <w:i/>
          <w:color w:val="000000"/>
          <w:sz w:val="20"/>
          <w:bdr w:val="single" w:sz="8" w:space="36" w:color="000000"/>
        </w:rPr>
        <w:t>Rehabilitation Therapy Doses Are Low After Stroke and Predicted by Clinical Factors</w:t>
      </w:r>
      <w:r>
        <w:rPr>
          <w:rFonts w:ascii="Times New Roman;serif" w:hAnsi="Times New Roman;serif"/>
          <w:b w:val="false"/>
          <w:color w:val="000000"/>
          <w:sz w:val="20"/>
          <w:bdr w:val="single" w:sz="8" w:space="36" w:color="000000"/>
        </w:rPr>
        <w:t xml:space="preserve">, Stroke, Volume 54, Number 3, 831-839 (2023)). Based on these patient factors and post-stroke therapy rates, we estimate that this initial market opportunity comprises approximately 1 million stroke survivors within our total addressable market. We believe this patient population represents an initial market opportunity of over $30 billion based on the average selling price of the Vivistim System.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Vivistim Therapy has demonstrated meaningful clinical improvements in upper extremity function independent of the time elapsed since stroke. As such, Vivistim Therapy is appropriate for patients who initiate treatment many years post-stroke as well as more recent stroke survivors. Based on a report published by the AHA in 2025, we estimate that each year approximately 200,000 new stroke survivors in the United States meet our indication for use, with 50,000 of these survivors representative of our initial market opportunity. </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The market share we ultimately achieve is subject to a number of assumptions, risks and uncertainties, including the market acceptance of Vivistim Therapy and our ability to execute on our commercial strategy. As a novel treatment, market acceptance depends, in part, on our ability to raise awareness, the adoption of Vivistim Therapy by hospitals, healthcare providers, therapists, patients, caregivers and adequate payor coverage and reimbursement, and the acceptance of Vivistim Therapy as safe, effective and cost-effective. We may be unsuccessful in attaining significant market acceptance or such acceptance may take longer or be more costly than anticipated. For more information, please see the section titled “</w:t>
      </w:r>
      <w:r>
        <w:rPr>
          <w:rFonts w:ascii="Times New Roman;serif" w:hAnsi="Times New Roman;serif"/>
          <w:b w:val="false"/>
          <w:i/>
          <w:color w:val="000000"/>
          <w:sz w:val="20"/>
          <w:bdr w:val="single" w:sz="8" w:space="36" w:color="000000"/>
        </w:rPr>
        <w:t>Risk Factors — Risks Related to Our Business and Industry — The commercial success of Vivistim Therapy depends upon attaining significant market acceptance of our products by hospitals, healthcare providers, therapists, patients, caregivers and payors” and “ — The size of our market opportunity has not been established with precision and may be smaller than we estimate, possibly materially.</w:t>
      </w:r>
      <w:r>
        <w:rPr>
          <w:color w:val="000000"/>
          <w:bdr w:val="single" w:sz="8" w:space="36" w:color="000000"/>
        </w:rPr>
        <w:t>”</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Solution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breakthrough Vivistim System is the first and only FDA-approved solution for chronic ischemic stroke survivors with moderate to severe upper extremity impairments. The Vivistim System facilitates Vivistim Therapy, which has been clinically proven to significantly improve upper limb function and help patients regain critical capabilities and independence. Vivistim Therapy leverages neuroplasticity – the ability of the nervous system to adapt and reorganize its connections – to improve upper limb function in patients with chronic stroke. The Vivistim System includes an implantable device that stimulates the vagus nerve only when intentionally activated, triggering the release of neuromodulators, including acetylcholine, norepinephrine, and serotonin. These neuromodulators create a heightened state of plasticity in the brain, such that neural networks can more readily adapt and reform in response to stimuli. When functional movements, such as goal- or task-oriented exercises and movements, are performed in the presence of these increased neuromodulators, the brain can create new neural connections and strengthen existing connections to a degree that would otherwise not be possible, enabling lasting improvements in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motor pathways and creating greater potential for recovery. The image below depicts the placement of the Vivistim System, including the IPG and lead. </w:t>
      </w:r>
    </w:p>
    <w:p>
      <w:pPr>
        <w:pStyle w:val="TextBody"/>
        <w:bidi w:val="0"/>
        <w:spacing w:before="0" w:after="180"/>
        <w:jc w:val="center"/>
        <w:rPr>
          <w:bdr w:val="single" w:sz="8" w:space="36" w:color="000000"/>
        </w:rPr>
      </w:pPr>
      <w:r>
        <w:rPr>
          <w:bdr w:val="single" w:sz="8" w:space="36" w:color="000000"/>
        </w:rPr>
        <w:drawing>
          <wp:inline distT="0" distB="0" distL="0" distR="0">
            <wp:extent cx="4505325" cy="27432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4505325" cy="27432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Shortly after device implantation, patients begin Vivistim Therapy with a physical or occupational therapist. In the clinic, the therapist uses a remote to activate the Vivistim System during task-specific practice, such as reaching for and grasping objects. Patients can continue Vivistim Therapy at home, both during their in-clinic therapy protocol and, if desired, in the months and years that follow. At home, patients easily activate stimulation sessions by swiping the Vivistim magnet over the Vivistim IPG implant site, which initiates 30 minutes of periodic stimulation pulses.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Vivistim Therapy offers the first effective therapeutic option for these patients, with the following key benefits: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First and only FDA-approved device clinically proven to deliver significant improvements in upper limb function.</w:t>
      </w:r>
      <w:r>
        <w:rPr>
          <w:color w:val="000000"/>
        </w:rPr>
        <w:t xml:space="preserve"> </w:t>
      </w:r>
      <w:r>
        <w:rPr>
          <w:rFonts w:ascii="Times New Roman;serif" w:hAnsi="Times New Roman;serif"/>
          <w:b w:val="false"/>
          <w:color w:val="000000"/>
          <w:sz w:val="20"/>
        </w:rPr>
        <w:t xml:space="preserve">In our pivotal, triple-blind, randomized, sham-controlled VNS-REHAB trial, Vivistim Therapy resulted in an approximately two-times greater, as measured by FMA-UE, and approximately three-times greater, as measured by WMFT, improvement in hand and arm function compared to intensive rehabilitation alone, at the end of the in-clinic and at-home therapy protocol. At such time, the FMA-UE score increased by 5.8 points in the treatment group. These results highlight Vivistim Therapy’s distinctive ability to drive substantial neuroplastic adaptations and functional gains, which we believe sets it apart as the only therapy with robust clinical evidence for effective post-stroke motor recovery. Based on published case studies involving patients that received Vivistim Therapy, improvements in upper limb function following Vivistim Therapy can further enable patients to perform activities of daily living, such as dressing independently, preparing meals, folding laundry, and eating (Saylor A, Patrick L, Reddy CG, Gandhi R., </w:t>
      </w:r>
      <w:r>
        <w:rPr>
          <w:rFonts w:ascii="Times New Roman;serif" w:hAnsi="Times New Roman;serif"/>
          <w:b w:val="false"/>
          <w:i/>
          <w:color w:val="000000"/>
          <w:sz w:val="20"/>
        </w:rPr>
        <w:t>Vagus Nerve Stimulation Paired With Upper Extremity Rehabilitation for Chronic Stroke: Real-World Implementation and Outcomes</w:t>
      </w:r>
      <w:r>
        <w:rPr>
          <w:rFonts w:ascii="Times New Roman;serif" w:hAnsi="Times New Roman;serif"/>
          <w:b w:val="false"/>
          <w:color w:val="000000"/>
          <w:sz w:val="20"/>
        </w:rPr>
        <w:t>. Arch Rehabil Res Clin Transl. (2026)). Even modest gains – particularly in wrist, hand, and finger function – can impact dignity, independence, and quality of life.</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Significant clinical improvement even for patients who initiate treatment many years post-stroke.</w:t>
      </w:r>
      <w:r>
        <w:rPr>
          <w:color w:val="000000"/>
        </w:rPr>
        <w:t xml:space="preserve"> </w:t>
      </w:r>
      <w:r>
        <w:rPr>
          <w:rFonts w:ascii="Times New Roman;serif" w:hAnsi="Times New Roman;serif"/>
          <w:b w:val="false"/>
          <w:color w:val="000000"/>
          <w:sz w:val="20"/>
        </w:rPr>
        <w:t xml:space="preserve">Unlike conventional rehabilitation therapies, which have shown benefits during the sub-acute phase of stroke recovery but not in the chronic phase, Vivistim Therapy has demonstrated clinically meaningful improvements for patients even years after their stroke. We observed significant functional improvements in all cohorts of our pivotal clinical trial, with participants averaging 3.3 years post-stroke at the time of treatment and a range from nine months to 10 years into their recovery. Commercially, we have treated patients many years post-stroke, including up to 45 years, who have achieved meaningful clinical benefit,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demonstrating that improvement with Vivistim Therapy is possible regardless of time elapsed since stroke and offering hope to a large population of chronic stroke survivors.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Durable improvements underpinned by a clinically proven mechanism of action.</w:t>
      </w:r>
      <w:r>
        <w:rPr>
          <w:color w:val="000000"/>
        </w:rPr>
        <w:t xml:space="preserve"> </w:t>
      </w:r>
      <w:r>
        <w:rPr>
          <w:rFonts w:ascii="Times New Roman;serif" w:hAnsi="Times New Roman;serif"/>
          <w:b w:val="false"/>
          <w:color w:val="000000"/>
          <w:sz w:val="20"/>
        </w:rPr>
        <w:t>The functional gains achieved with Vivistim Therapy are long-lasting, providing durable, life-changing outcomes for stroke survivors. Clinical data has demonstrated sustained motor improvements, measured out to one year in our pivotal trial and three years in our pilot trial.</w:t>
      </w:r>
      <w:r>
        <w:rPr>
          <w:color w:val="000000"/>
        </w:rPr>
        <w:t xml:space="preserve"> </w:t>
      </w:r>
      <w:r>
        <w:rPr>
          <w:rFonts w:ascii="Times New Roman;serif" w:hAnsi="Times New Roman;serif"/>
          <w:b w:val="false"/>
          <w:color w:val="000000"/>
          <w:sz w:val="20"/>
        </w:rPr>
        <w:t>This lasting effect is enabled by the unique mechanism of action underlying Vivistim Therapy, which creates durable neural pathways that enable motor improvements.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High patient and therapist satisfaction, with consistently positive feedback.</w:t>
      </w:r>
      <w:r>
        <w:rPr>
          <w:color w:val="000000"/>
        </w:rPr>
        <w:t xml:space="preserve"> </w:t>
      </w:r>
      <w:r>
        <w:rPr>
          <w:rFonts w:ascii="Times New Roman;serif" w:hAnsi="Times New Roman;serif"/>
          <w:b w:val="false"/>
          <w:color w:val="000000"/>
          <w:sz w:val="20"/>
        </w:rPr>
        <w:t>Based on a survey we conducted in connection with our VNS-REHAB trial, 98% of patients that received Vivistim Therapy were satisfied with their experience. In addition, based on a commercial survey conducted by us, 98% of therapists would recommend Vivistim Therapy to suitable candidates. We believe the high satisfaction rate reflects the profound impact of these functional gains on patients’ lives, and the differentiation of functional gains enabled by Vivistim Therapy.</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Safe and minimally invasive outpatient procedure.</w:t>
      </w:r>
      <w:r>
        <w:rPr>
          <w:color w:val="000000"/>
        </w:rPr>
        <w:t xml:space="preserve"> </w:t>
      </w:r>
      <w:r>
        <w:rPr>
          <w:rFonts w:ascii="Times New Roman;serif" w:hAnsi="Times New Roman;serif"/>
          <w:b w:val="false"/>
          <w:color w:val="000000"/>
          <w:sz w:val="20"/>
        </w:rPr>
        <w:t>The IPG and lead are placed via a simple, 60-minute procedure using two small incisions, allowing patients to return home on the same day and quickly resume activities of daily living. This type of procedure has been safely performed by neurosurgeons, who are trained on it in their residency programs, and other qualified surgeons for over 25 years to treat other medical conditions and is considered safe and reliable. Our clinical results have validated the safety of the system and therapy, with no severe adverse events, serious adverse events or unanticipated adverse events associated with the Vivistim System in our VNS-REHAB trial. Our clinical results have also validated the safety of the procedure with a low complication rate. In our VNS-REHAB trial, the rate of surgical complications that did not resolve within a few weeks was less than 1%. The IPG battery has an indicated service life under continuous use conditions of five years. After its end of service, the IPG can be surgically replaced for continued use. For more information, please see the section titled “</w:t>
      </w:r>
      <w:r>
        <w:rPr>
          <w:rFonts w:ascii="Times New Roman;serif" w:hAnsi="Times New Roman;serif"/>
          <w:b w:val="false"/>
          <w:i/>
          <w:color w:val="000000"/>
          <w:sz w:val="20"/>
        </w:rPr>
        <w:t xml:space="preserve">Risk Factors — Risks Related to Our Business and Industry — Adverse events, product recalls, or other complications or customer satisfaction issues associated with Vivistim Therapy, including regarding the finite IPG battery life, could limit its adoption.”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Vivistim System received PMA approval from the FDA in 2021 and is classified by the FDA as a Class III device. Class III devices require approval of a PMA and are devices deemed by the FDA to pose the greatest risks, such as implantable devices, devices that have a new intended use, or devices that use advanced technology that is not substantially equivalent to that of a legally marketed device. The Vivistim System was granted breakthrough device status under the FDA’s Breakthrough Devices Program in 2021, because it is intended to provide more effective treatment of a life-threatening or irreversibly debilitating condition. For more information, please see the section titled “Business — Government Regulation” for a discussion on the FDA’s classification system of medical devices and the Breakthrough Devices Program.</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Success Factors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the continued growth of our company will be driven by the following success factors: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First and only FDA-approved solution establishing a new standard of care in chronic stroke recovery.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Large and untapped market opportunity with significant unmet need.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Compelling body of clinical data demonstrating the significant and sustained benefits of Vivistim Therapy.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Unique customer and patient dynamics to support a scalable commercial model.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Favorable coding and payment dynamics with dedicated in-house market access team supporting patients and providers.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Differentiated purpose-built technology for Vivistim Therapy protected by robust IP portfolio.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Seasoned executives with extensive Med Tech commercialization expertise and a proven track record of value creation.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Growth Strategies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mission is to redefine stroke recovery for survivors living with life-altering functional impairments by establishing Vivistim Therapy as the standard of care for chronic stroke. The key elements of our growth strategy include: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Expand our market development efforts to broaden awareness and access to Vivistim Therapy.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Driving utilization of Vivistim Therapy by promoting awareness among patients, caregivers and healthcare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Building upon our strong base of clinical evidence to support adoption and expand payor coverage.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Investing in research and development to drive continuous innovation, better outcomes, and improved user experience.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Expanding clinical indications to benefit a broader patient population.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Continue to evaluate expansion into geographies outside of the United States.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2026 Convertible Notes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From January 30, 2026 through February 11, 2026, we issued convertible promissory notes to certain investors in an aggregate principal amount of $40.0 million (2026 Convertible Notes). The 2026 Convertible Notes mature on January 30, 2028 (Maturity Date). The 2026 Convertible Notes bear no interest for the first six months following the date of issuance (Interest Free Period). Following such Interest Free Period, the 2026 Convertible Notes accrue interest at a rate of 7.0% per annum through the Maturity Date, which interest payments shall be paid in kind. Immediately prior to the closing of this offering, the 2026 Convertible Notes and any accrued interest will automatically convert into shares of our common stock at the applicable conversion price. The conversion price is the lower of (a) 80% of the initial public offering price per share in this offering and (b) the valuation of the Company immediately prior to the closing of this offering divided by the number of fully diluted shares of capital stock (on an as-converted basis) outstanding immediately prior to this offering but excluding the 2026 Convertible Notes (Fully Diluted Capitalization), provided, that in no event shall such conversion price be less than the quotient obtained by dividing $226.0 million by the Fully Diluted Capitalization or greater than the quotient obtained by dividing $750.0 million by the Fully Diluted Capitalization. Based on the initial public offering price of $15.00 per share, and without giving effect to accrued interest (if any), the 2026 Convertible Notes will automatically convert into an aggregate of 3,333,324 shares of our common stock immediately prior to the closing of this offering. </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Preliminary Estimated Selected Financial Results for the Three Months Ended March 31, 2026</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financial results for the three months ended March 31, 2026 are not yet complete and will not be available until after the completion of this offering. Accordingly, set forth below are certain preliminary estimated selected unaudited financial results for the three months ended March 31, 2026 and the corresponding period of the prior fiscal year. We have provided ranges, rather than specific amounts, for the three months ended March 31, 2026, because our closing procedures for the quarter-end financial closing process are not yet complete. These ranges are based on the information available to us as of the date of this prospectus. These preliminary estimated results for the three months ended March 31, 2026 are derived from our preliminary internal financial records and are subject to revisions based on our procedures and controls associated with the completion of our financial reporting process, including all the customary reviews and approvals. As a result, actual results may vary from the preliminary estimated results presented below, and it is possible that actual results will not be within the currently estimated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ranges. These preliminary estimates are not necessarily indicative of any future period and should be read together with “Risk Factors,” “Special Note Regarding Forward-Looking Statements,” “Management’s Discussion and Analysis of Financial Condition and Results of Operations” and our audited financial statements and related notes included elsewhere in this prospectus.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preliminary unaudited financial data included in this prospectus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tbl>
      <w:tblPr>
        <w:tblW w:w="8098" w:type="dxa"/>
        <w:jc w:val="left"/>
        <w:tblInd w:w="0" w:type="dxa"/>
        <w:tblLayout w:type="fixed"/>
        <w:tblCellMar>
          <w:top w:w="28" w:type="dxa"/>
          <w:left w:w="28" w:type="dxa"/>
          <w:bottom w:w="28" w:type="dxa"/>
          <w:right w:w="28" w:type="dxa"/>
        </w:tblCellMar>
      </w:tblPr>
      <w:tblGrid>
        <w:gridCol w:w="1374"/>
        <w:gridCol w:w="1208"/>
        <w:gridCol w:w="1212"/>
        <w:gridCol w:w="229"/>
        <w:gridCol w:w="867"/>
        <w:gridCol w:w="118"/>
        <w:gridCol w:w="109"/>
        <w:gridCol w:w="109"/>
        <w:gridCol w:w="109"/>
        <w:gridCol w:w="241"/>
        <w:gridCol w:w="910"/>
        <w:gridCol w:w="124"/>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2026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2026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2025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(actual)</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(unaudited) (in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Preliminary estimated financial results: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(17,720)</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the three months ended March 31, 2026, we expect revenue to be between $11.9 million and $12.1 million, compared to $5.7 million for the three months ended March 31, 2025. The expected increase in revenue was driven entirely by higher adoption of the Vivistim System. Units of IPGs, a primary component of the Vivistim System, sold during the period increased by 108.9%. Average selling prices of the Vivistim System remained consistent period over period.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the three months ended March 31, 2026, we expect cost of goods sold to be between $2.1 million and $2.2 million, compared to $1.0 million for the three months ended March 31, 2025. The expected increase in cost of goods sold is primarily due to a higher sales volume of Vivistim Systems, as well as an increase in incoming freight and product warranty costs. Cost per unit of the underlying product remained relatively consistent year over year.</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the three months ended March 31, 2026, we expect total operating expenses to be between $26.8 million and $27.0 million, compared to $15.0 million for the three months ended March 31, 2025. The expected increase in total operating expenses is primarily due to higher personnel-related expenses as a result of increased headcount, particularly within the commercial organization, as well as higher commissions driven by increased sales of Vivistim Systems. Additional contributing factors include higher audit, legal, and other professional fees, increased travel and meeting expenses related to expanded staffing, increased marketing and branding costs, including those associated with the Company’s name change, and expenses related to the post-market GRASP clinical study.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the three months ended March 31, 2026, we expect net loss attributable to common stockholders to be between $17.7 million and $18.1 million, compared to $10.7 million for the three months ended March 31, 2025. The expected increase in net loss is due to higher operating expenses, which more than offset the increase in revenue. The increase in net loss also reflects an increase in other expense of $0.7 million related to the change in the fair value of our 2026 Convertible Notes payable.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of March 31, 2026, our cash and cash equivalents balance is expected to be approximately $55.7 million as compared to $33.6 million at December 31, 2025. The increase is primarily due to net proceeds from the issuance of $40.0 million of 2026 Convertible Notes during the quarter, partially offset by cash used in operating activities.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Risks Related to our Business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ability to execute our business strategy is subject to numerous risks, as more fully described in the section titled “Risk Factors” immediately following this prospectus summary. These risks include, among others: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have a history of net losses, and we expect to continue to incur losses for the foreseeable future. If we ever achieve profitability, we may not be able to sustain it.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recurring losses from operations and financial condition raise substantial doubt about 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manage our growth effectively, our business could be materially and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commercial success of Vivistim Therapy depends upon attaining significant market acceptance of our products by hospitals, healthcare providers, therapists, patients, caregivers and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entirely on our currently marketed Vivistim Therapy. If we are unable to successfully market and sell Vivistim Therapy, our business prospects will be materially and adversely affected, and we may be unable to achieve revenue growth and to fund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effectively hire, train, and retain our direct sales force, increase our sales capabilities, or develop broad brand awareness in a cost-effective manner, our growth will be materially and adversely affected, and our business will suffer.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Coverage and adequate reimbursement may not be available or may be subject to change for our Vivistim System, including any future products we commercialize, which could diminish our sales, increase our competition, or affect our ability to sell our currently marketed Vivistim Therapy and any future products profitably.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depend on a small number of third-party contract manufacturers and suppliers, some of which are single source, to produce and package all elements comprising our Vivistim System as well as certain implantation tools, and if these suppliers and manufacturers fail to supply our Vivistim System or its components or subcomponents in sufficient quantities or at all, it will have a material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our market opportunity has not been established with precision and may be smaller than we estimate, possibly materially.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events, product recalls, or other complications or customer satisfaction issues associated with Vivistim Therapy, including regarding the finite IPG battery life, could limit its adoption.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limited clinical data, evidence and experience regarding the safety and efficacy of Vivistim Therapy.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are unable to maintain existing, and obtain additional, patent and other intellectual property protection for our technology and products, or if the scope of the patent protection we obtained is not sufficiently broad, we may not be able to compete effectively in our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products and operations are subject to extensive government regulation and oversight in the United States, and our failure to comply with applicable requirements could materially and adversely affect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maintain marketing authorizations for our products, or to timely obtain necessary marketing authorizations for our future products, may have a material and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have identified a material weakness in our internal control over financial reporting.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were incorporated in Delaware on March 5, 2007 as MicroTransponder, Inc. Effective February 23, 2026, we changed our name to “Mobia Medical, Inc.” Our principal executive offices are located at 2802 Flintrock Trace, Suite 226, Austin, TX 78738. Our telephone number is (855) 628-9375. Our website address is www.mobia.com.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Information contained on the website is not incorporated by reference into this prospectus and the inclusion of our website address in this prospectus is an inactive textual reference only.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Implications of Being an Emerging Growth Company and a Smaller Reporting Company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 result, the information that we provide to our stockholders may be different than you might receive from other public reporting companies in which you hold equity interests.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an emerging growth company, we have elected to take advantage of certain reduced disclosure obligations in the registration statement that this prospectus is a part of, and may elect to take advantage of other reduced reporting requirements in future filings.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present in this prospectus only two years of audited financial statements, plus any required unaudited financial statements, and related section titled “Management’s Discussion and Analysis of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avail ourselves of the exemption from the requirement to obtain an attestation and report from our independent registered public accounting firm on the assessment of our internal control over financial reporting pursuant to the Sarbanes-Oxley Act of 2002, as amended (the Sarbanes-Oxley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avail ourselves of relief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provide less extensive disclosure about our executive compensation arrangements;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required to hold stockholder non-binding advisory votes on executive compensation or golden parachute arrangements.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THE OFFERING </w:t>
      </w:r>
    </w:p>
    <w:tbl>
      <w:tblPr>
        <w:tblW w:w="10205" w:type="dxa"/>
        <w:jc w:val="left"/>
        <w:tblInd w:w="0" w:type="dxa"/>
        <w:tblLayout w:type="fixed"/>
        <w:tblCellMar>
          <w:top w:w="28" w:type="dxa"/>
          <w:left w:w="28" w:type="dxa"/>
          <w:bottom w:w="28" w:type="dxa"/>
          <w:right w:w="28" w:type="dxa"/>
        </w:tblCellMar>
      </w:tblPr>
      <w:tblGrid>
        <w:gridCol w:w="756"/>
        <w:gridCol w:w="456"/>
        <w:gridCol w:w="458"/>
        <w:gridCol w:w="109"/>
        <w:gridCol w:w="109"/>
        <w:gridCol w:w="109"/>
        <w:gridCol w:w="2550"/>
        <w:gridCol w:w="2336"/>
        <w:gridCol w:w="3322"/>
      </w:tblGrid>
      <w:tr>
        <w:trPr/>
        <w:tc>
          <w:tcPr>
            <w:tcW w:w="7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10,000,000 shares. </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Option to purchase additional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an option for a period of 30 days to purchase up to 1,500,000 additional shares of our common stock at the public offering price, less the underwriting discounts and commissions.</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33,085,391 shares (or 34,585,391 shares if the underwriters exercise their option to purchase additional shares in full).</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We estimate that the net proceeds to us from the sale of shares of our common stock in this offering will be approximately $134.5 million (or approximately $155.4 million if the underwriters exercise their option to purchase additional shares in full), based upon the initial public offering price of $15.00 per share and after deducting estimated underwriting discounts and commissions and estimated offering expenses payable by us.</w:t>
            </w:r>
          </w:p>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to expand our direct sales force and commercial organization, continue our research and development activities and our clinical studies and trials, and for working capital and other general corporate purposes.</w:t>
            </w:r>
          </w:p>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a portion of the net proceeds we receive from this offering to acquire businesses, products, services, or technologies. We periodically evaluate strategic opportunities; however, we do not have agreements or commitments for any material acquisitions or investments at this time. </w:t>
            </w:r>
          </w:p>
          <w:p>
            <w:pPr>
              <w:pStyle w:val="TableContents"/>
              <w:bidi w:val="0"/>
              <w:spacing w:lineRule="auto" w:line="240" w:before="0" w:after="0"/>
              <w:jc w:val="left"/>
              <w:rPr/>
            </w:pPr>
            <w:r>
              <w:rPr>
                <w:rFonts w:ascii="Times New Roman;serif" w:hAnsi="Times New Roman;serif"/>
                <w:b w:val="false"/>
                <w:color w:val="000000"/>
                <w:sz w:val="20"/>
              </w:rPr>
              <w:t>See the section titled “</w:t>
            </w:r>
            <w:hyperlink w:anchor="i46a2e66dfc1442ddbd3162dbb5bf73c2_389">
              <w:r>
                <w:rPr>
                  <w:rStyle w:val="InternetLink"/>
                  <w:rFonts w:ascii="Times New Roman;serif" w:hAnsi="Times New Roman;serif"/>
                  <w:b w:val="false"/>
                  <w:color w:val="0000FF"/>
                  <w:sz w:val="20"/>
                  <w:u w:val="single"/>
                </w:rPr>
                <w:t>Use of Proceeds</w:t>
              </w:r>
            </w:hyperlink>
            <w:r>
              <w:rPr>
                <w:color w:val="000000"/>
              </w:rPr>
              <w:t xml:space="preserve">” </w:t>
            </w:r>
            <w:r>
              <w:rPr>
                <w:rFonts w:ascii="Times New Roman;serif" w:hAnsi="Times New Roman;serif"/>
                <w:b w:val="false"/>
                <w:color w:val="000000"/>
                <w:sz w:val="20"/>
              </w:rPr>
              <w:t xml:space="preserve">for additional information. </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common stock involves a high degree of risk. See the section of this prospectus titled “</w:t>
            </w:r>
            <w:hyperlink w:anchor="i46a2e66dfc1442ddbd3162dbb5bf73c2_422">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beginning on page </w:t>
            </w:r>
            <w:hyperlink w:anchor="i46a2e66dfc1442ddbd3162dbb5bf73c2_422">
              <w:r>
                <w:rPr>
                  <w:rStyle w:val="InternetLink"/>
                  <w:rFonts w:ascii="Times New Roman;serif" w:hAnsi="Times New Roman;serif"/>
                  <w:b w:val="false"/>
                  <w:color w:val="0000FF"/>
                  <w:sz w:val="20"/>
                  <w:u w:val="single"/>
                </w:rPr>
                <w:t>17</w:t>
              </w:r>
            </w:hyperlink>
            <w:r>
              <w:rPr>
                <w:color w:val="000000"/>
              </w:rPr>
              <w:t xml:space="preserve"> </w:t>
            </w:r>
            <w:r>
              <w:rPr>
                <w:rFonts w:ascii="Times New Roman;serif" w:hAnsi="Times New Roman;serif"/>
                <w:b w:val="false"/>
                <w:color w:val="000000"/>
                <w:sz w:val="20"/>
              </w:rPr>
              <w:t xml:space="preserve">and other information included in this prospectus for a discussion of factors you should carefully consider before deciding to invest in shares of our common stock. </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Reserved share program</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 our request, the underwriters have reserved for sale, at the initial public offering price, up to 5% of the shares offered by this prospectus for sale to some of our directors, officers, employees, distributors, dealers,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Nasdaq Global Select Market trading symbol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MOBI” </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number of shares of our common stock to be outstanding immediately after this offering is based on 23,085,391 shares of our common stock outstanding as of December 31, 2025, which reflects (i) the Preferred Stock Conversion described below, (ii) the issuance of the 2026 Convertible Notes and the related Notes Conversion (as defined below) and (iii) the Warrant Exercises described below, and excludes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29,622 shares of our common stock issuable upon the exercise of warrants to purchase shares of our redeemable convertible preferred stock outstanding as of December 31, 2025, which will convert into warrants to purchase shares of our common stock immediately prior to the completion of this offering with an exercise price of $8.8618 per share of common stock (the Warrant Conversion);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 </w:t>
      </w:r>
      <w:r>
        <w:rPr>
          <w:rFonts w:ascii="Times New Roman;serif" w:hAnsi="Times New Roman;serif"/>
          <w:b w:val="false"/>
          <w:color w:val="000000"/>
          <w:sz w:val="20"/>
        </w:rPr>
        <w:t xml:space="preserve">4,046,266 shares of common stock issuable upon exercise of options to purchase shares of our common stock outstanding as of December 31, 2025, at a weighted-average exercise price of $3.51 per share; </w:t>
      </w:r>
    </w:p>
    <w:p>
      <w:pPr>
        <w:pStyle w:val="TextBody"/>
        <w:bidi w:val="0"/>
        <w:spacing w:lineRule="auto" w:line="288" w:before="0" w:after="180"/>
        <w:ind w:left="0" w:right="0" w:hanging="360"/>
        <w:jc w:val="left"/>
        <w:rPr/>
      </w:pPr>
      <w:r>
        <w:rPr>
          <w:color w:val="000000"/>
        </w:rPr>
        <w:t>• </w:t>
      </w:r>
      <w:r>
        <w:rPr>
          <w:rFonts w:ascii="Times New Roman;serif" w:hAnsi="Times New Roman;serif"/>
          <w:b w:val="false"/>
          <w:color w:val="000000"/>
          <w:sz w:val="20"/>
        </w:rPr>
        <w:t xml:space="preserve">524,180 shares of common stock issuable upon exercise of options to purchase shares of our common stock granted after December 31, 2025, at a weighted-average exercise price of $7.91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523,613 shares of common stock reserved for future issuance under our 2022 Equity Incentive Plan, as amended (the 2022 Plan), as of December 31, 2025, provided that we will cease granting awards under our 2022 Plan upon the effectiveness of the 2026 Incentive Award Plan (the 2026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2,680,780 shares of common stock issuable upon the exercise of stock options (the IPO Options) to be granted in connection with this offering under the 2026 Plan (based upon the initial public offering price of $15.00 per share), which became effective on the business day immediately prior to the date of effectiveness of the registration statement of which this prospectus forms a part, to our non-employee directors and certain of our employees at an exercise price equal to the initial public offering price in this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181,810 shares of common stock issuable upon the vesting of restricted stock units (the IPO RSUs and, together with the IPO Options, the IPO Grants) to be granted in connection with this offering under the 2026 Plan (based upon the initial public offering price of $15.00 per share), which will become effective immediately following the effectiveness of the applicable Form S-8 registration statement, to certain of our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our common stock reserved for future issuance under the 2026 Plan (which number includes the IPO Grants), which became effective on the business day immediately prior to the date of effectiveness of the registration statement of which this prospectus forms a part, equal to the sum of (1) a number of shares equal to 14%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 under the 2026 Plan and the 2026 Employee Stock Purchase Plan (the ESPP)), plus (2) any shares of common stock remaining available for future issuance under our 2022 Plan as of the effectiveness of the 2026 Plan, which shares will be added to the share reserve under the 2026 Plan upon its effectiveness;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common stock reserved for issuance under our ESPP, which became effective on the business day immediately prior to the date of effectiveness of the registration statement of which this prospectus forms a part, equal to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2026 Plan and the ESPP).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Each of the 2026 Plan and the ESPP provides for annual automatic increases in the number of shares reserved thereunder, and the 2026 Plan also provides for increases to the number of shares that may be granted thereunder based on awards under the 2022 Plan that expire, are forfeited, or otherwise repurchased by us, as more fully described in the section titled “Executive and Director Compensation—Equity Incentive Plans.”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addition, unless otherwise indicated, all information in this prospectus assumes or gives effect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filing and effectiveness of our amended and restated certificate of incorporation and the effectiveness of our amended and restated bylaws, which will occur immediately prior to the completion of this offering;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conversion of all outstanding shares of our redeemable convertible preferred stock as of December 31, 2025 into an aggregate of 18,831,868 shares of our common stock, which will occur immediately prior to the completion of this offering (the Preferred Stock Conversion);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issuance of 34,455 shares of our common stock upon the net exercise of warrants to purchase 908,000 shares of our Series B redeemable convertible preferred stock outstanding as of December 31, 2025, which exercise will occur immediately prior to the completion of this offering at an exercise price of $3.73744 per share (based upon the initial public offering price of $15.00 per share) (the Series B Warrant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issuance of 1,714 shares of our common stock upon the net exercise of warrants to purchase 258,000 shares of our Series D redeemable convertible preferred stock outstanding as of December 31, 2025, which exercise will occur immediately prior to the completion of this offering at an exercise price of $4.207 per share (based upon the initial public offering price of $15.00 per share) (together with the Series B Warrant Exercise, the Warrant Exercises);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issuance of 3,333,324 shares of our common stock upon the conversion of the 2026 Convertible Notes, based on the initial public offering price of $15.00 per share, which conversion will occur immediately prior to the closing of this offering (the Notes Conversion);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1-for-3.483 reverse split of our capital stock, which was effected on May 1,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no exercise of outstanding options or warrants after December 31, 2025;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no exercise of the underwriters’ option to purchase additional shares of common stock from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SUMMARY FINANCIAL DATA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following tables summarize our financial data for the periods and as of the dates indicated. Except for pro forma and pro forma adjusted amounts, we have derived the statements of operations data for the years ended December 31, 2025 and 2024, and the selected balance sheet data as of December 31, 2025 from our audited financial statements and related notes included elsewhere in this prospectus. Our historical results are not necessarily indicative of results that may be expected in the future. You should read the following summary financial data together with our financial statements and the related notes appearing elsewhere in this prospectus and the information in the section titled “Management’s Discussion and Analysis of Financial Condition and Results of Operations.” The summary financial data included in this section are not intended to replace the financial statements and related notes thereto included elsewhere in this prospectus and are qualified in their entirety by such financial statements and related notes thereto.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Statements of Operations Data </w:t>
      </w:r>
    </w:p>
    <w:tbl>
      <w:tblPr>
        <w:tblW w:w="10205" w:type="dxa"/>
        <w:jc w:val="left"/>
        <w:tblInd w:w="0" w:type="dxa"/>
        <w:tblLayout w:type="fixed"/>
        <w:tblCellMar>
          <w:top w:w="28" w:type="dxa"/>
          <w:left w:w="28" w:type="dxa"/>
          <w:bottom w:w="28" w:type="dxa"/>
          <w:right w:w="28" w:type="dxa"/>
        </w:tblCellMar>
      </w:tblPr>
      <w:tblGrid>
        <w:gridCol w:w="2796"/>
        <w:gridCol w:w="2259"/>
        <w:gridCol w:w="2268"/>
        <w:gridCol w:w="109"/>
        <w:gridCol w:w="109"/>
        <w:gridCol w:w="109"/>
        <w:gridCol w:w="211"/>
        <w:gridCol w:w="771"/>
        <w:gridCol w:w="109"/>
        <w:gridCol w:w="109"/>
        <w:gridCol w:w="109"/>
        <w:gridCol w:w="109"/>
        <w:gridCol w:w="211"/>
        <w:gridCol w:w="771"/>
        <w:gridCol w:w="155"/>
      </w:tblGrid>
      <w:tr>
        <w:trPr/>
        <w:tc>
          <w:tcPr>
            <w:tcW w:w="2796"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w:t>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36,687</w:t>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43" w:after="20"/>
              <w:jc w:val="right"/>
              <w:rPr/>
            </w:pPr>
            <w:r>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loss per share attributable to common stockholders, basic and diluted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Weighted-average number of shares used in computing net loss per share attributable to common stockholders, basic and diluted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574,632</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 forma net loss per share attributable to common stockholders, basic and diluted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Weighted-average number of shares used in computing pro forma net loss per share attributable to common stockholders, basic and diluted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23,050,173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22,775,993</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(1)Basic and diluted net loss per share attributable to common stockholders and weighted-average number of shares used in computing basic and diluted net loss per share attributable to common stockholders for the year ended December 31, 2025 has been revised to correct an error in our previously issued financial statements and recasted to reflect the reverse stock split, as more fully described in Note 3, “Summary of Significant Accounting and Reporting Policies and Basis of Presentation—Revision of previously issued financial statements and recast to reflect the reverse stock split” to our audited financial statements. For the calculation of our basic and diluted net loss per share attributable to common stockholders and weighted-average number of shares used in the computation of the per share amounts, see Note 14 to our audited financial statements included elsewhere in this prospectus.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unaudited pro forma net loss per share attributable to common stockholders, basic and diluted for the year ended December 31, 2025 was computed using the weighted-average number of shares of common stock outstanding, including the pro forma effect of the Preferred Stock Conversion, the issuance of the 2026 Convertible Notes and the related Notes Conversion, the Warrant Exercises and the Warrant Conversion, as if such conversions and exercises had occurred at the beginning of the period, or their issuance dates, if later. Unaudited pro forma net loss per share attributable to common stock does not include the shares expected to be sold and related proceeds to be received in this offering.</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Balance Sheet Data</w:t>
      </w:r>
    </w:p>
    <w:tbl>
      <w:tblPr>
        <w:tblW w:w="10081" w:type="dxa"/>
        <w:jc w:val="left"/>
        <w:tblInd w:w="0" w:type="dxa"/>
        <w:tblLayout w:type="fixed"/>
        <w:tblCellMar>
          <w:top w:w="28" w:type="dxa"/>
          <w:left w:w="28" w:type="dxa"/>
          <w:bottom w:w="28" w:type="dxa"/>
          <w:right w:w="28" w:type="dxa"/>
        </w:tblCellMar>
      </w:tblPr>
      <w:tblGrid>
        <w:gridCol w:w="1773"/>
        <w:gridCol w:w="1563"/>
        <w:gridCol w:w="1568"/>
        <w:gridCol w:w="109"/>
        <w:gridCol w:w="109"/>
        <w:gridCol w:w="109"/>
        <w:gridCol w:w="211"/>
        <w:gridCol w:w="901"/>
        <w:gridCol w:w="109"/>
        <w:gridCol w:w="109"/>
        <w:gridCol w:w="109"/>
        <w:gridCol w:w="109"/>
        <w:gridCol w:w="211"/>
        <w:gridCol w:w="721"/>
        <w:gridCol w:w="109"/>
        <w:gridCol w:w="109"/>
        <w:gridCol w:w="109"/>
        <w:gridCol w:w="109"/>
        <w:gridCol w:w="342"/>
        <w:gridCol w:w="1342"/>
        <w:gridCol w:w="250"/>
      </w:tblGrid>
      <w:tr>
        <w:trPr/>
        <w:tc>
          <w:tcPr>
            <w:tcW w:w="177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 forma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Pro forma as adjusted </w:t>
            </w:r>
            <w:r>
              <w:rPr>
                <w:rFonts w:ascii="Times New Roman;serif" w:hAnsi="Times New Roman;serif"/>
                <w:b/>
                <w:color w:val="000000"/>
                <w:sz w:val="10"/>
              </w:rPr>
              <w:t>(2)</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Working capital</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221,626</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net of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361,821</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pro forma balance sheet data gives effect: (i) to the Preferred Stock Conversion, (ii) the issuance of the 2026 Convertible Notes and the related Notes Conversion, (iii) the Warrant Exercises, (iv) the Warrant Conversion and (v) the filing and effectiveness of our amended and restated certificate of incorporation, which will become effective immediately upon the closing of this offering.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(2)Reflects the pro forma adjustments described in footnote (1) above and the issuance and sale of 10,000,000 shares of common stock in this offering at the initial public offering price of $15.00 per share, after deducting the estimated underwriting discounts and commissions and estimated offering expenses payable by us.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(3)We define working capital as current assets less current liabilities. See our audited financial statements and the related notes included elsewhere in this prospectus for further details regarding our current assets and current liabilities.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if one or more of these risks or uncertainties actually occur, and you may lose all or part of your investment. Additional risks and uncertainties not presently known to us or that we currently deem immaterial may also impair our business operations and the market price of our common stock. Certain statements below are forward-looking statements. See the section titled “Special Note Regarding Forward-Looking Statements” appearing elsewhere in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a history of net losses, and we expect to continue to incur losses for the foreseeable future. If we ever achieve profitability, we may not be able to sustain it.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incurred losses since our inception and expect to continue to incur losses for the foreseeable future. We reported net losses of $46.5 million and $24.6 million for the years ended December 31, 2025 and 2024, respectively. As a result of these losses, as of December 31, 2025, we had an accumulated deficit of approximately $157.8 million. We expect to continue to incur significant sales and marketing, research and development, clinical and regulatory, and other expenses as we expand our commercial organization, increase marketing efforts to drive adoption of Vivistim Therapy, expand existing relationships with our customers, conduct clinical trials on our existing and future products and develop new products or add new features to our existing products, pursue any required regulatory clearances or approvals, and seek to establish broader commercial coverage. In addition, we expect our general and administrative expenses to increase following this offering due to the additional costs associated with being a public company. Additionally, we may encounter unforeseen expenses, difficulties, complications, delays, and other known and unknown obstacles as we continue to build and scale our business. The net losses that we incur may fluctuate significantly from period to period. We will need to generate significant additional revenue in order to achieve and sustain profitability. Even if we achieve profitability, we cannot be sure that we will remain profitable for any period of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recurring losses from operations and financial condition raise substantial doubt about our ability to continue as a going concern.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Note 2 to our financial statements for the fiscal year ended December 31, 2025 included elsewhere in this prospectus, we concluded that our history of continued operating losses and negative operating cash flows raise substantial doubt about our ability to continue as a going concern. Similarly, our independent registered public accounting firm included an explanatory paragraph in its report on our financial statements as of and for the fiscal year ended December 31, 2025, describing the existence of substantial doubt about our ability to continue as a going concern.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future viability is dependent on our ability to generate cash from our operating activities or to raise additional capital to finance our operations. 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suppliers and employees. Our financial statements do not include any adjustments that might result from the outcome of this uncertainty. If we are unable to continue as a going concern, we may have to liquidate our assets and may receive less than the value at which those assets are carried on our financial statements, and it is likely that our investors will lose all or a part of their investment.</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manage our growth effectively, our business could be materially and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recent rapid growth and anticipate further growth. For example, for the year ended December 31, 2025, our revenue was $32.0 million compared to revenue of $15.6 million for the year ended December 31, 2024, an increase of 104.8% year-over-year. This growth has placed significant demands on our management, financial, operational, technological and other resources, and we expect that our future growth will continue to place significant demands on our management and other resources and will require us to continue developing and improving our operational, financial and other internal controls. In particular, continued growth increases the challenges involved in a number of areas, including managing our third-party manufacturers and supplier relationships and ensuring adequate inventory is available, recruiting and retaining sufficient skilled personnel for leadership positions, sales force and other functions, providing adequate training and supervision to maintain our high-quality standards and preserving our culture and values. We may not be able to address these challenges in a cost-effective manner, or at 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our business objectives, we must also successfully increase our supply of products and components from third-party manufacturers to meet expected demand. If demand decreases, we will need to implement capacity and cost reduction measures involving restructuring costs. If demand increases, we will be required to make capital expenditures related to increased production. This would also put pressure on our third-party manufacturing capabilities. For example, a sudden increase in demand could require increased production of components, such as the implantable pulse generator (IPG) or stimulation lead. Adapting to changes in demand inherently involves a delay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may experience challenges managing the inventory of components of our Vivistim System, which can lead to excess inventory. Inventory levels in excess of customer demand may result in inventory obsolescence or expiration, which could potentially result in inventory write-downs or write-offs, which could be substantial and could impact our gross margins.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future, we may also experience difficulties with quality control, component supply and shortages of qualified personnel, among other problems. These problems could result in delays in product availability, product quality issues, delays in our ability to reach our sales potential delays in the development and launch of new products and increases in expenses. Any such delays, issues or increased expenses could adversely affect our business, financial condition and results of operations. In addition, rapid and significant growth will place a strain on our administrative and operational infrastructure, particularly as we transition to being a public company. In order to manage our operations and growth, we will need to continue to improve our operational and management controls, hiring process, reporting and information technology systems and financial internal control procedures. If we do not effectively manage our growth, we may not be able to execute on our business plan, respond to competitive pressures, take advantage of market opportunities, reach our sales potential, satisfy customer requirements or maintain high-quality product offerings, which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success depends entirely on our currently marketed Vivistim Therapy. If we are unable to successfully market and sell Vivistim Therapy, our business prospects will be materially and adversely affected, and we may be unable to achieve revenue growth and to fund our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date, all of our revenue has been derived, and we expect it to continue to be derived, from sales of our Vivistim System. Our future financial success will depend entirely on our ability to effectively and profitably market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sell Vivistim Therapy. The commercial success of Vivistim Therapy and any of our future products we develop will depend on a number of factors, including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revenue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market awareness and adoption of Vivistim Therapy, including by patients and our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scope, timing and costs of supporting the growth and expansion of our commercial organization and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amount of reimbursement for procedures using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adoption of private payor coverage of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acquisition costs of finished goods and components used in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securing additional suppliers and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costs of our research and development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and costs of our current or future clinical and registries as well as costs associated with complying with regulatory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additional regulatory clearances or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attaining, defending, and enforcing our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we acquire third-party products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litigation or other claims against us for intellectual property infringement or otherwise;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emergence of competing or complementary technologies;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raise additional funds to finance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debt service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need to implement additional infrastructure and internal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industry and market conditions or extraordinary external events, such as a recession;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at which we expand internationally;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associated with being a public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reputation among physicians, hospitals and therapists;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we are required by the FDA or comparable non-U.S. regulatory authorities to conduct additional clinical trials for future or current indications.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successfully market and sell our products, we will not be able to achieve profitability, which will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effectively hire, train, and retain our direct sales force, increase our sales capabilities, or develop broad brand awareness in a cost-effective manner, our growth will be materially and adversely affected, and our business will suffer.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 direct sales team consisting of approximately 83 sales professionals, inclusive of approximately 40 Territory Managers (TMs) and 43 Therapy Development Specialists (TDSs) with substantial applicable medical device and clinical experience, as well as sales management. In order to generate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future growth, we must continue to add highly qualified personnel to our commercial organization, with a strategic mix of TMs and TDSs, to drive further awareness and penetration within healthcare providers that interact with stroke survivors. Identifying and recruiting qualified commercial personnel and training them on our product, applicable federal and state laws and regulations, and on our internal policies and procedures requires significant time, expense, and attention. Once hired, the training process is lengthy because it requires significant education for new TMs and TDSs to achieve the level of clinical competency with our products expected by physicians and therapists. Upon completion of the training, our TMs and TDSs typically require lead time in the field to grow their network of accounts and achieve the productivity levels we expect them to reach in any individual territory. Furthermore, the use of our products may involve limited, non-contractual support activities provided in connection with initial education and setup prior to or at the time of implantation. The Company does not have an ongoing obligation to provide programming, reprogramming, or customer or technical support after implantation, and any such activities, if performed, are incidental and not considered significant. Also, to the extent we hire personnel from our competitors, we may have to wait until applicable non-competition or non-solicitation provisions have expired before deploying such personnel in restricted territories or incur costs to relocate personnel outside of such territories, and we may be subject to future allegations that these new hires have been improperly solicited, or that they have divulged to us proprietary or other confidential information of their former employers. Our business may be harmed if our efforts to expand and train our sales force and any future efforts to engage in direct-to-patient programs and direct-to-consumer marketing do not generate a corresponding increase in revenue, and our higher fixed costs may slow our ability to reduce costs in the face of a sudden decline in demand for our products. Moreover, the members of our direct sales force are at-will employees. The loss of these personnel to competitors or otherwise could have a material adverse effect on our business, financial condition, and results of operations. If we are unable to attract, train and retain our direct sales force personnel or replace them with individuals of equivalent technical expertise and qualifications, if we are unable to successfully instill technical expertise in replacement personnel, or if our direct sales force personnel are unable to reach the productivity levels we expect on the timeline we expect for any reason, our revenue and results of operations could be materially and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commercial success of Vivistim Therapy depends upon attaining significant market acceptance of our products by hospitals, healthcare providers, therapists, patients, caregivers and payors.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the acceptance of Vivistim Therapy as safe, effective and cost-effective. We cannot predict how quickly, if at all, hospitals, healthcare providers, therapists, patients, caregivers or payors will adopt Vivistim Therapy or, if adopted, how frequently Vivistim Therapy will be used. Vivistim Therapy and any future products we may develop or market may never gain broad market acceptance for some or all of our targeted indications. It is important to our success, future growth, and profitability that we are able to increase healthcare provider awareness of Vivistim Therapy and that hospitals, healthcare providers, therapists, patients, caregivers and payors believe that our products offer benefits over alternative treatment methods, and that they adopt our products. These parties may not adopt our products unless they are able to determine, based on experience, clinical data, medical society recommendations, and other analyses, that our products are safe, effective and cost-effective on a stand-alone basis and relative to competitors’ products. If physicians or payors do not find our body of published clinical evidence and data compelling or wish to wait for additional studies, they may choose not to use or provide coverage and reimbursement for or prescribe our product. Currently, there are a number of large third-party payers that have determined that our Vivistim Therapy is experimental or investigational and therefore do not cover it at this time. In addition, the long-term effects of our Vivistim Therapy beyond our current clinical trials are not yet known. Certain physicians, hospitals, therapists and payers may prefer to see longer-term safety and efficacy data than we have produced. Even if we are able to raise awareness, physicians and therapists may be slow in changing their medical treatment practices and may be hesitant to select our products for recommendation to their patients for a variety of reasons,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long-standing relationships with competing companies and distributors that sell other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competitive responses from competing companies and distributors that sell alternative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lack or perceived lack of sufficient clinical evidence, including long-term data, supporting reliability, safety, clinical or economic benefits;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lack of third-party coverage or adequate reimbursement, particularly from private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lack of experience with our products and concerns that we are relatively new to market;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time commitment and skill development that may be required to gain familiarity and proficiency with our products and implantation procedures.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Stroke survivors interact with a diverse network of care providers, including stroke interventionalists, neurosurgeons, neurologists, physical medicine and rehabilitation physicians, occupational and physical therapists, stroke coordinators and nurses. Each of these providers can play a role in identifying and evaluating potential Vivistim Therapy candidates. We directly engage each of these stakeholders through our field-based commercial team, as well as through specialized events, summits, and conferences. As a result, our success depends, in large part, on effectively marketing Vivistim Therapy to these healthcare providers. We aim to educate these healthcare providers regarding the patient population that would benefit from Vivistim Therapy. Acceptance of Vivistim Therapy depends upon our education of healthcare providers as to the distinctive characteristics, clinical and benefits, safety, durability and ease of use of Vivistim Therapy as compared to other therapy options and any future competitor VNS devices and upon our effective communication to healthcare providers of the proper use of Vivistim Therapy as well as our ability to provide effective and timely physician, therapist and patient support, including in connection with device education and addressing any technical, quality or other concerns. However, we cannot assure you that we will achieve broad market acceptance among these practitioners. Healthcare providers may be reluctant or unwilling to invest time to learn about the benefits of Vivistim Therapy, and to deviate from practices or therapy programs which they consider to be more established. If we are not able to effectively demonstrate that the use of Vivistim Therapy is beneficial in a broad range of patients, some healthcare providers may choose to utilize Vivistim Therapy on only a subset of their total eligible patient population or not at all, and adoption of our product will be limited and may not occur as rapidly as we anticipate or at all, which would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Most of our customers are hospitals, which may require us to enter into contracts regarding our devices. This process can be lengthy and time-consuming and may require extensive negotiations and management time with an uncertain degree of success. If we do not receive access to hospital facilities via these contracting processes or otherwise, or if we are unable to secure contracts or tender successful bids, we may not achieve our sales and revenues goals, and our results of operations may be harmed. Furthermore, we may expend significant effort in these time-consuming processes and still may not obtain a purchase contract from such hospitals.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certain characteristics and features of Vivistim Therapy may prevent widespread market adoption. For example, some patients have reported pain, discomfort, bruising, swelling and infection after implantation as well as device related issues, such as low or high impedance (a measure of the lead’s resistance to current), which have led to explant or revision requests. These and any similar future explants or revisions could deter potential candidates from pursuing treatment or prompt physicians to favor alternative therapies. Even if physicians recommend Vivistim Therapy to patients, patients may not adopt it for a variety of reasons, including because they do not want to or are unable to undergo the implantation procedure (which involves typical risks associated with such procedures, including infection), do not perceive our device as safe, effective or cost-effective, prefer any future competitive devices or therapies (including as a result of competitive patient marketing) or because Vivistim Therapy is not reimbursed by their health insurance provider.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Also, screening patients for Vivistim Therapy requires a clinical assessment of a patient’s motor impairments, which is typically done based on the Fugl-Meyer Assessment of Upper Extremity (FMA-UE) score. The FMA-UE assessment can take about 30 minutes or more to complete, which can be longer than other clinical assessments. Follow-up assessments take about the same time. Vivistim Therapy Healthcare providers that use other clinical assessments that are shorter may not want to learn how to use the FMA-UE scoring system or invest the time in a longer assessment process generally, which may impact adoption of Vivistim Therapy.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even if our products achieve market acceptance, they may not maintain that market acceptance over time if competing products, therapies or technologies are considered safer, more effective, more cost-effective or otherwise superior. Any failure of our products to generate sufficient demand or to achieve meaningful market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acceptance and penetration will harm our future prospects and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Coverage and adequate reimbursement may not be available or may be subject to change for our Vivistim System, including any future products we commercialize, which could diminish our sales, increase our competition, or affect our ability to sell our currently marketed Vivistim Therapy and any future products profitably.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are generally reimbursed by third-party payors for the procedures that are required to implant our device. Because there is no separate reimbursement for supplies used in surgical procedures, including our device, the additional cost associated with the use of our products can affect the profit margin of the hospital where the procedure is performed. Some of our target customers may be unwilling to adopt our products in light of potential additional associated cost. In addition, customers that perform the procedure may be subject to reimbursement claim denials upon submission of the claim. These events, or any other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exists and coverage and reimbursement for procedures can differ significantly from payor to payor, reimbursement decisions by particular third-party payors may depend upon a number of factors, including the payor’s determination that use of a product 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appropriate and medically necessary for the specific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 effective;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Medicare, which is administered by the Centers for Medicare and Medicaid Services (CMS), does not currently have a national coverage determination or local coverage determinations applicable to our device. As a result, coverage determinations are made on a case-by-case basis for Medicare beneficiaries. Medicaid programs are funded by both federal and state governments, and coverage and reimbursement policies vary from state to state and from year to year. Effective July 1, 2023, the New York State Medicaid fee-for-service program covers FDA-cleared vagus nerve stimulator, or VNS, devices used for stroke therapy in conjunction with rehabilitation to recover function in hands and arms after an ischemic stroke. Most commercial payors currently consider Vivistim Therapy as experimental or investigational and require prior authorization.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coverage and reimbursement can be a time-consuming and expensive process. For example, payors typically require us to provide supporting scientific, clinical and cost-effectiveness data for the use of our products before providing coverage. We may not be able to provide data sufficient to satisfy third-party payors that procedures using our products should be covered and reimbursed, and even if we are, such data may be time-consuming and costly to obtain and the incremental revenue from the positive coverage decisions it generates (if any) may not be sufficient to recoup the expense associated with data collection. Payors also continually review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new and existing technologies for possible coverage and can, without notice, deny or reverse coverage for new or existing products and procedures. While some payors currently cover and provide reimbursement for procedures using our currently cleared or approved products on a case-by-case basis, we can give no assurance that these third-party payors will continue to provide coverage and adequate reimbursement for the procedures using our products, or that additional third-party payors will provide coverage for our products in the future. If we are not successful in reversing any non-coverage policies, or if third-party payors that currently cover or reimburse procedures in which our products are used reverse or limit their coverage in the future, or if other third-party payors issue similar non-coverage policies, this could have a material adverse effect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are also increasingly examining the cost effectiveness of products, in addition to their safety and efficacy, when making coverage and payment decisions. Third-party payors have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It is uncertain whether our current products or any future products will be viewed as sufficiently cost effective by payors to warrant coverage and adequate reimbursement levels for procedures using such products in any given jurisdiction. For example, there can be no assurance that payors will find Vivistim Therapy attractive from a cost/benefit perspective, or that they will deem our data on economic benefits of Vivistim Therapy sufficiently persuasive.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High rates of coverage denials or prolonged, burdensome prior authorization processes by commercial and government payors may discourage physicians from recommending Vivistim Therapy to their patients. Certain of our customers have, from time to time, experienced coverage denials and extended prior authorization requirements for Vivistim Therapy, and there can be no assurance that payor behavior will improve or that such denials will not persist or increase in the future. If medical centers and physicians perceive that reimbursement is uncertain or routinely denied, they may be less willing to invest the time required to pursue appeals or recommend Vivistim Therapy to their patients, which could reduce utilization of Vivistim Therapy. Persistent denial trends could also influence hospital committees and practice groups to deprioritize Vivistim Therapy in their care protocols, further limiting adoption and adversely affecting our revenue, reputation and growth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government payors, such as CMS, have increased their efforts to control the cost, utilization and delivery of healthcare services. CMS establishes Medicare payment levels for hospitals and physicians on an annual basis, which can increase or decrease payment to such entities. The Vivistim System is typically implanted in the hospital outpatient setting, and all items and services paid under the Medicare hospital outpatient prospective payment system, or OPPS, are assigned to payment groups called Ambulatory Payment Classifications, or APCs, which group together items and services that are similar clinically and in terms of resource use. Reimbursement for professional services performed by physicians are reported using CPT codes and based on a different payment methodology. Implantation of the Vivistim System falls under CPT Code 64568 (“Incision for implantation of a cranial nerve (e.g., vagus) neurostimulator electrode array and pulse generator”). From January 1, 2023 through December 31, 2025, CMS granted transitional pass-through payment status for the Vivistim System under HCPCS code C1827 (“Generator, neurostimulator (implantable), non-rechargeable, with implantable stimulation lead and external paired stimulation controller”) when used in combination with CPT code 64568. This status is granted by CMS to facilitate access to innovative devices that significantly improves clinical outcomes as compared to currently available treatment options. Effective January 1, 2026, CPT code 64568 is assigned to New Technology APC 1580. A service is not paid under a New Technology APC until sufficient claims data have been collected to allow CMS to assign the procedure to a clinical APC group that is appropriate in clinical and resource terms. CMS generally expects this to occur within two to three years. We cannot provide any assurances that CPT code 64568 will continue to be assigned to APC 1580 during this time, or that reimbursement amount associated with any subsequent assignment to a clinical APC group will be adequate to cover the costs associated with our device. Individual states may also enact legislation that impacts Medicaid payments to hospitals and physicians.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marketability of our products may suffer if government and commercial third-party payors fail to provide adequate coverage and reimbursement. Even if favorable coverage and reimbursement status is attained, less favorable coverage policies and reimbursement rates may be implemented in the future.</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on a small number of third-party contract manufacturers and suppliers, some of which are single source, to produce and package all elements comprising our Vivistim System as well as certain implantation tools, and if these suppliers and manufacturers fail to supply our Vivistim System or its components or subcomponents in sufficient quantities or at all, it will have a material adverse effect on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 small number of qualified medical device contract manufacturers and suppliers, some of which are single source, to produce and package all elements comprising our Vivistim System as well as certain implantation tools. In certain cases, these third parties also perform design engineering activities for specific components. We generally do not have long-term contracts with our suppliers, and our supply arrangements generally do not include minimum manufacturing or purchase obligations. For these arrangements, we primarily order products through the use of purchase orders, do not have any obligation to purchase any given quantity of products, and our suppliers generally have no obligation to sell to us or to manufacture for us any given quantity of our products or components of our systems. Certain supplier arrangements include non-cancelable purchase commitments and binding forecast obligations. For these arrangements, we primarily order products through the use of purchase orders that are generally non-cancelable once accepted by the respective supplier. Although we continue to fortify our supply chain by seeking additional sourcing channels, all of the critical components of the Vivistim System, including the IPG and lead, are supplied to us from single sources that are qualified medical device contract manufacturers and suppliers. Our lead is manufactured by Cirtec Medical. Our IPG is manufactured by Integer Holdings Corporation (Integer).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supply agreements with Integer pursuant to which Integer agreed to manufacture our IPG component for us. Our first supply agreement with Integer provides that we may order from Integer on a non-exclusive, purchase order basis with no minimum purchase requirements. The agreement includes, among other provisions, customary representations and warranties by the parties, ordering and payment and shipping terms, customary provisions with respect to the ownership of any intellectual property and customary confidentiality provisions. The agreement continues until termination by the parties. Either party may terminate the agreement upon written notice in the event of a material breach that is not cured within 30 days of the other party’s written notice of such breach; upon bankruptcy, insolvency or reorganization that has not been dismissed within 30 days after commencement; or in the event that the other party commits a crime, intentionally imparts material information or misappropriates intellectual property. In addition, we may terminate the agreement if Integer fails to meet our specifications or is unable to manufacture products, or for our convenience if we are current in our payment obligations to Integer. To further support our anticipated growth and IPG supply needs, we also entered into a second supply agreement (the IPG Supply Agreement), effective September 24, 2024, with Greatbatch Ltd., a subsidiary of Integer. The IPG Supply Agreement contains, among other provisions, customary representations and warranties by the parties, ordering and payment and shipping terms, customary provisions with respect to the ownership of any intellectual property created during the term of the IPG Supply Agreement, certain indemnification rights in favor of both parties, limitations of liability and customary confidentiality provisions, and minimum purchase requirements. The minimum purchase requirements are expected to commence in 2028. Under the minimum purchase requirements, we are obligated to purchase a high double-digit fixed percentage of our IPG supply requirements from Integer and must purchase a minimum number of IPGs from Integer per year. The aggregate minimum purchase obligation for the initial five-year period is approximately $5.8 million. The IPG Supply Agreement has an initial five-year term commencing upon the first commercial shipment of product, and will automatically renew for one-year periods unless either party delivers a notice of non-renewal prior to the renewal date. Either party may terminate the IPG Supply Agreement upon written notice in the event of a material breach of the IPG Supply Agreement that is not cured within 60 days of the other party’s written notice of such breach, subject to certain conditions; or upon bankruptcy, insolvency or reorganization that has not been dismissed within 60 days after commencement. We may terminate the IPG Supply Agreement if Integer fails to adequately supply non-defective products, if the products are subject to repeating failures over time that fail to meet our specifications, or if Integer is unable to manufacture products for a specified period of time.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Where we rely on a single-source supplier, alternative second-source suppliers may not be readily available or qualifying them may take significant time and expense. The level of inventory we maintain for certain of our sole-sourced supplies may not be sufficient to support our customer demand for the length of time that may be required to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qualify an alternative supplier should this become necessary. We seek to strategically maintain sufficient levels of inventory to help mitigate supply disruption, to accommodate varying demand mix and to achieve more efficient volume-based pricing on our components; however, we may not be accurate in our estimates which could result in insufficient inventory to meet demand or excess inventory and the risk of inventory obsolescence and expiration. If our estimates result in carrying insufficient levels of inventory to meet customer demand, this may lead to customer backorders due to a lack of manufacturing capacity or supply chain challenges, which could result in delays or inability to reach sales potential, cause reputational harm or otherwise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Where these third parties perform design engineering work, we are additionally reliant on their design engineering capacities and proprietary know-how, and we may have reduced visibility and control over design decisions and related changes. This reliance can increase the time and cost to implement, validate and transfer design changes, complicate second-sourcing efforts, and heighten the risk of disputes over intellectual property ownership, licensing scope, and access to design files and documentation necessary to manufacture and support our device.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a third-party manufacturer and third-party suppliers also subjects us to other risks that could harm our business that we would not be subject to if we manufactured products ourselves,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not be a major customer of many of our suppliers, and these suppliers may therefore give other customers’ needs higher priority than ours;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third parties may threaten or enforce their intellectual property rights against our suppliers, which may cause disruptions or delays in shipment, or may force our suppliers to cease conducting business with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not be able to obtain an adequate supply of an acceptable quality in a timely manner or on commercially reasonable terms or at 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suppliers, especially new suppliers, may make errors in manufacturing that could negatively affect the efficacy or safety of Vivistim Therapy or cause delays in shipment or product recalls;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have difficulty locating and qualifying alternative suppliers;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capacity, technical capabilities and qualifications of our suppliers may not expand in line with our future volume requirements or support the manufacture of new products on our desired schedule,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switching components or suppliers may require product redesign and possibly submission to FDA or other regulatory bodies, which could significantly impede or delay our commercial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one or more of our single-source suppliers may be unwilling or unable to supply components of our Vivistim System;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customers may use fair or unfair negotiation tactics or pressures to impede our use of the suppliers;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occurrence of a fire, natural or man-made disaster or other catastrophe impacting one or more of our suppliers may affect their ability to deliver products to us in a timely manner or at 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suppliers may encounter financial or other business hardships unrelated to our demand, which could inhibit their ability to fulfill our orders and meet our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suppliers may not maintain the confidentiality of our confidential information;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higher manufacturing and product costs than more vertically integrated companies.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cause delays or suspension of commercialization and marketing, clinical trials, regulatory submissions or required approvals, cause us to incur higher costs, inability to meet customer demand, and product quality issues or recalls. Furthermore, if our contract manufacturers fail to deliver the required commercial quantities of finished products of an acceptable quality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we would lose potential revenue. Any difficulties in locating and hiring third-party manufacturers, or in the ability of third-party manufacturers to supply quantities of our products at the times and in the quantities we need, could have a material adverse effect on our business. It may take a significant amount of time and resources (including costs) to establish an alternative source of supply for our products and to have any such new source approved by the FDA. Given our reliance on certain single-source suppliers, we are especially susceptible to supply shortages because we do not have alternate suppliers currently available, which can result in increased costs and production delays and potentially adversely impact our ability to meet demand for our products in a timely manner or at 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some third parties or their facilities are or may in the future be located in markets subject to political, social and economic risk, corruption, infrastructure problems, tariffs and natural or man-made disasters, in addition to country-specific intellectual property protection, privacy and data security and tax risks and the risk of nationalization and expropriation, given current legal and regulatory environments. Failure of third parties to meet their contractual, regulatory, and other obligations may have a material adverse effect on our business, financial condition and results of operations. Because we rely on some suppliers in countries outside of the United States, we are exposed to the possibility of product supply disruption and increased costs in the event of changes in the policies of the United States or the governments in the countries these suppliers are located, including changes in tariff policies, political or social unrest, or unstable economic conditions. Any of these matters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size of our market opportunity has not been established with precision and may be smaller than we estimate, possibly materially.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there are more than 4 million chronic ischemic stroke survivors living with moderate to severe upper extremity impairment in the United States and that are within the current on-label indication for our Vivistim System. We believe that an initial market opportunity comprises approximately 1 million of those survivors, which equates to an initial market opportunity of over $30 billion based on the average selling price of the Vivistim System. This initial market represents the total overall revenue opportunity that we believe is available if we achieve 100% market share for Vivistim Therapy among these survivors, and is not a representation that we will achieve any such market share. The market share we achieve is subject to a number of assumptions, risks and uncertainties, including our ability to execute on our commercial strategy and the extent of adoption of Vivistim Therapy. Further, these estimates are based on a number of internal and third-party estimates which may prove to be inaccurate. The actual size of our addressable markets may be smaller than our estimates for a number of reasons. The Vivistim System is currently the first and only FDA-approved solution for chronic ischemic stroke survivors with moderate to severe upper extremity impairment. As such, we will have to expend significant resources to educate and promote awareness of this solution among patients, caregivers and healthcare providers. If we are not able to successfully drive adoption of our solution, we may not be able to access a significant part of this estimated market opportunity.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Vivistim System implantation procedure falls under Category 1 CPT code. Medicare fee-for-service patients can typically access Vivistim Therapy when medically necessary, without prior authorization. Commercial insurance, Medicaid and Medicare Advantage generally require prior authorization. As such, commercial insurance coverage represents the largest gap in coverage and continues to evolve, and may never become widely available. Medicare reimbursement rates may also be reduced. The foregoing may slow or prevent broad adoption of our solution or require us to reduce our average selling prices to accommodate reduced reimbursement rates. We have determined our serviceable addressable market using an assumed average selling price for our Vivistim System. A decrease or increase in our assumed average selling price would change our serviceable addressable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market for our solution may be slow to develop as a result of physician concerns associated with Vivistim Therapy due to the limited long term clinical data, limited or challenges regarding commercial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reimbursement, and limited network of referral sources that may take some time to develop, if they develop at all. In order to generate future growth, we are building out a dedicated group of field-based TMs and TDSs focused on developing our market, including driving awareness of Vivistim Therapy and its clinical benefits as well as supporting VNS-specific professional education, but our efforts to do so may not be successful. Moreover, our total market opportunity could decrease if preventive therapies, drugs or devices that broadly reduce stroke incidence (such as glucagon-like peptide agonists, or GLP-1 drugs, if proved to be effective for such purpose) are prescribed or utilized more widely or if stroke incidence generally decreases due to, among other reasons, the population in the United States becoming healthier or new drugs being developed.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cause our total addressable market and serviceable addressable market to be lower than we currently estimate. If our market does not continue to develop at the rate we expect, our business, financial condition, and results of operations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Adverse events, product recalls, or other complications or customer satisfaction issues associated with Vivistim Therapy, including regarding the finite IPG battery life, could limit its adoption.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Risks of using our products include risks that are common to any surgical procedure. Adverse events that have been experienced in connection with our device in clinical trials and clinical practice include infection, pain and discomfort, migration of the implanted device, irritation, bruising, swelling and non-healing wounds. Certain of these procedure or device related adverse events have, in some cases, required device explantations or revisions; in some of these cases, patients have not been re-implanted. Complications or adverse events could result from improper implantation and lack of adequate physician experience or training with our products as well as other user errors, pre-existing patient conditions or anatomical factors and manufacturing defects.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since the IPG battery is indicated for approximately five years of service life under continuous use conditions, long-term use past five years have in the past, and may in the future, require one or more replacement procedures when the IPG battery reaches its end-of-life. Replacement of the IPG necessarily involves surgical intervention (such as explant or replacement) and is subject to the risk of additional adverse reactions, including infection, pain and discomfort, irritation, bruising, swelling, non-healing wounds and adverse reactions to general anesthesia. The prospect of having to eventually explant or replace our Vivistim System, which would involve additional surgery and its associated risks (which may be heightened at the more advanced age of any such explant or replacement procedure), may dissuade patients from using Vivistim Therapy in the first instance.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adverse events described above, users have in the past experienced, and may in the future experience, issues with the SAPS interface and accessories and their interactions with the IPG, and we have received, and may in the future receive, complaints regarding these issues. These issues have included SAPS screen anomalies and connection errors between the SAPS user interface and the wireless transmitter, which are typically resolved by rebooting SAPS or replacing the respective laptop, and connection issues between the wireless transmitter and the IPG, which are typically resolved by reconnecting or repositioning the wireless transmitter. Our device manual includes detailed instructions regarding how to resolve these issues, and a team of field-based clinical engineers are available to provide remote and in-person support to clinicians and therapists. While these issues have not been material or presented significant risks or issues for our business to date, if any such issues become systemic, persist, or we are unable to remediate them promptly, or if they otherwise inconvenience or frustrate users, they could impair device performance, disrupt therapy, necessitate replacement procedures, dissuade patients and physicians from using Vivistim Therapy and damage our reputation. Customers may attribute these or similar issues to our products even if caused by reasons not directly related to our products, such as pre-existing conditions, complications associated with the surgical procedure or related anesthesia itself, implantation of the device too deep in the tissue, making a larger-than-necessary incision that results in device migration, movement in the body or other types of user error or patient anatomical features. Even if these types of events are not directly attributable to the devices, they could decrease acceptance of our products by our customers, including hospitals, physicians, therapists, patients or caregivers, and result in a material adverse effect on our business, financial condition, and results of operations. Our reputation among our current or potential customers and referral sources, including but not limited to, stroke interventionalists, neurosurgeons, neurologists, physical medicine and rehabilitation physicians, occupational and physical therapists, stroke coordinators and nurses could also be materially and adversely affected by safety or customer satisfaction issues involving us or our products. For example, our customer service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clinical representatives may be unable to, or be perceived to be unable to, provide technical and customer service support effectively and in a timely manner or at all. These or other customer satisfaction issues, in addition to any product recalls or other safety or efficacy issues, could materially and adversely affect our reputation and our ability to establish or maintain broad adoption of our products, which would harm our future prospects and have a material adverse effect on our business, financial condition, and results of operations. Additionally, any unfavorable publicity or news coverage regarding our Vivistim System, whether or not accurate, may dissuade patients from using our Vivistim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Screening procedures designed to identify patients who are contraindicated for use of Vivistim Therapy may be inconsistently or incorrectly applied by healthcare providers or may otherwise fail to identify individuals who should not have been eligible for Vivistim Therapy, resulting in customer dissatisfaction by such patients. Also, hospitals and physicians may not prescribe our products due to potential interference or complications with other medical procedures. For example, because our products include implantation of certain medical-grade metals, our labeling our Vivistim System is designated as MR Conditional and includes specific considerations for procedures using magnetic resonance imaging, or MRI. Any of these events could materially and adversely affect our ability to commercialize our products and to compete with other products in stroke recovery.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operate in a competitive industry that is subject to technological change and significantly affected by new product introductions and market activities of other industry participants.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industry that is subject to technological change and significantly affected by new product introductions and market activities of other industry participants. For example, industry participants include medical device manufacturers and robotics companies, including a significant number of companies focused on stroke prevention and acute stroke care. To the extent these companies decide to focus on longer term stroke care, particularly in the chronic phase, we may face increased competition. Many of these companies have longer, more established operating histories, and significantly greater name recognition and financial, technical, marketing, sales, distribution and other resources. In addition, certain companies have several competitive advantages, including significant scale and established relationships with healthcare providers and third-party payors. Irrespective of their current focus, we also compete with these companies for personnel, including qualified personnel that are necessary to grow our business, including TMs and TDSs.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Competitors may be able to offer products similar or superior to ours, including products that may, or may be perceived to, have improved features, such as smaller form factors, improved ease of use, longer battery life or rechargeable battery, aesthetics, reliability, safety and effectiveness; have improved reimbursement; be better supported by clinical evidence; more widely recognized and adopted by healthcare providers and patients; or be more cost-efficient. For example, competitors may utilize existing or newly developed products to enter the VNS market in the future, which would increase our competition and could materially and adversely affect demand for Vivistim Therapy. Increased competition may result in price reductions, reduced gross margins and loss of market share. To the extent we expand internationally, we will face additional competition in geographies outside the United States. In addition, we face competition from pharmaceutical companies that produce drugs which aim to aid in stroke recovery, and other companies that produce other devices or therapies that aim to assist in stroke recovery. Further, if medical research were to lead to the discovery of alternative therapies or technologies that address chronic stroke impairments in a way that is or is perceived to be more accurate, reliable, cost-effective, or otherwise improved relative to Vivistim Therapy, for example through alternative monitoring or testing technologies, medication, or therapies, the demand for our products could decrease significantly. For example, some of our patients have experienced pain and discomfort associated with the surgical implantation of our product, and some prospective patients have been reluctant to undergo surgery; if competitors develop or commercialize minimally invasive or non-surgical alternatives that avoid implantation, patients and providers may prefer those options over Vivistim Therapy, which could further reduce demand for our products. There can be no assurance that we will be able to compete successfully against our current or future competitors, or that competitive pressures will not have a material adverse effect on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price concessions or reductions for our products. If we reduce our prices because of consolidation in the healthcare industry, our revenue would decrease, which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rising prices or limited availability of raw materials continues to persist, our business and results of operations may be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Volatility in raw material prices and availability can occur due to numerous factors beyond our control, including general, domestic, and international economic conditions, labor costs, production levels, competition, consumer demand, import duties, tariffs and taxes, inflation and currency exchange rates. This volatility can significantly affect the availability and cost of raw materials that our suppliers purchase and are ultimately used in our systems, and may therefore have a material adverse effect on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current U.S. administration has expressed strong concerns about imports from countries that it perceives as engaging in unfair trade practices, and has imposed tariffs or other restrictions on products, components or raw materials sourced from those countries. The legal basis for some of these tariffs have been challenged, and recent judicial decisions, including from the U.S. Supreme Court, have invalidated or called into question certain tariff measures. However, other tariffs remain in place, new or additional tariffs have been and may continue to be imposed, and the overall trade policy environment remains fluid and subject to rapid change. Moreover, changes in U.S. trade policy have triggered and may in the future trigger retaliatory actions, countermeasures, or trade restrictions by affected countries. For example, there have been and continue to be further indications that there may be an increase in tariff rates on various types of goods imported from Canada, Mexico, South America and Europe that could apply to the raw materials we require in our products, including certain types of metal powders used for coating our products as well as entire components of our Vivistim System. In the event that any such possible tariff increases remain in place or become enacted in the future, they could significantly increase the cost of materials and components that our suppliers import and use in our systems, which in turn could increase our supply costs. At this time, there can be no assurance that we will be able to pass any portion of such increases on to customers. We currently do not hedge against our exposure to changing raw material prices and are not aware as to whether our suppliers hedge. As a result, fluctuations in raw material prices could have a material adverse effect on our business, results of operations and financial condition. Supply shortages or changes in availability for any particular type of raw material can delay supplier volume and production capabilities or cause increases in the cost of manufacturing our products. We may be materially and adversely affected by changes in availability and pricing of raw materials, which could materially and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 order to support our continued operations and the growth of our business, we may seek to raise additional capital, which may not be available to us on acceptable terms, or at 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operating expenses to continue to increase for the foreseeable future as we continue to make significant investments in our commercial organization; seek to expand our marketing programs to help facilitate further awareness and adoption among healthcare providers and patients; seek payor reimbursement; continue to make investments in research and development, regulatory affairs, and clinical trials to develop future generations of products based on Vivistim Therapy, support regulatory submissions, and demonstrate the clinical efficacy of our products; and as we continue to scale the business infrastructure and manufacturing capacity. Moreover, we expect to incur additional expenses associated with operating as a public company, including legal, accounting, insurance, exchange listing and SEC compliance, investor relations, and other expenses. In addition, we may in the future seek to acquire or invest in, additional businesses, products, or technologies that we believe could complement or expand our portfolio, enhance our technical capabilities, or otherwise offer growth opportunities.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$33.6 million in cash and cash equivalents. Based on our current operating plan, we believe that the estimated net proceeds from this offering, together with our existing cash and cash equivalents, will be sufficient to fund our planned operating expenses for at least the next 12 months. We have based this estimate on assumptions that may prove to be wrong, and we could use our capital resources sooner than we currently expect. Changing circumstances, some of which may be beyond our control, could cause us to consume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capital significantly faster than we currently anticipate, and we may need to seek additional funds sooner than planned.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these and other factors, we expect to continue to incur substantial net losses and negative cash flows from operations for at least the next several years. Our future liquidity and capital funding requirements will depend on numerous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revenue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market awareness and adoption of our Vivistim System, including by our customers and their patients, and the extent to which we are able to successfully educate patients and customers about our current and future indications, and the benefits of our Vivistim Therapy in treating such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expand our sales, marketing, and distribution capabilities in a timely and cost efficient manner, or at all;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the availability and amount of reimbursement for procedures using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new adoption and continued acceptance of private payor coverage of Vivistim Therapy;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emergence of competing, complementary or alternative technologies or therapies, including from other VNS neurostimulation device manufacturers or other stroke rehabilitation alternatives;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extent of our research and development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sustain meaningful clinical benefits for our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retain our current employees and the need and ability to hire additional management, sales, scientific, and clinical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need to implement additional infrastructure and internal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raise additional funds to finance our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industry and market conditions or extraordinary external events, such as a recession;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success or failure of clinical trials or post-approval studies for our products or competing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other claims against us for intellectual property infringement or otherwise;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hire additional personnel and undertake initiatives to support our operations as a public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that we need additional capital to continue to fund our operations, we intend to obtain such capital through public or private equity offerings or debt financings, credit or loan facilities, or a combination of one or more of these funding sources.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In the case of an insolvency, debt holders would be repaid before holders of our equity securities receive any distribution of our corporate assets. Any debt financing or additional equity that we raise may also contain terms that are not favorable to us or our stockholders. If we raise additional funds through licensing or collaboration arrangements with third parties, we may have to relinquish valuable rights to our current or future product candidates, or grant licenses on terms that are not favorable to us. We may also seek additional financing opportunistically. We may be unable to raise additional funds on favorable terms, or at all.</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Volatility in the capital markets and general economic conditions may be a significant obstacle to raising the required funds.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tariffs, trade and socioeconomic tensions, inflation, the conflict between Russia and Ukraine and in the Middle East,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sufficient capital on acceptable terms, or at all, our ability to finance our planned operations and support business growth, our business, financial condition and results of operations will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limited clinical data, evidence and experience regarding the safety and efficacy of Vivistim Therapy.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difficult to design and implement, can take many years, can be expensive, and carries uncertain outcomes. Because Vivistim Therapy is relatively new in the treatment of upper extremity impairment for chronic stroke survivors, we have performed clinical trials only with limited patient populations relevant to our FDA-approved indication. The trials conducted to date have involved relatively small sample sizes, which may limit the statistical power of the findings and the precision of estimated treatment effects. For example, the largest population we studied was 108 participants in our pivotal REHAB trial. As a result, there is uncertainty as to whether the observed safety, efficacy and other outcomes will be applicable across broader patient populations and other, different sub-groups, including for variations in age, sex, race and ethnicity. The effects of using Vivistim Therapy in a large number of patients have not been studied extensively or over a long-term period, and the results of short-term clinical use of such products do not necessarily predict long-term clinical benefits or reveal long-term adverse effects. While we have one year efficacy data from our pivotal REHAB trial and three year efficacy data from our pilot trial, these results were based on a small number of participants of 74 and 14, respectively. Moreover, clinical benefits may not persist in various circumstances, including if the patient discontinues or pauses occupational or physical therapy, does not otherwise adhere to the prescribed treatment regimen, or experiences an intervening medical or functional setback, and we have not studied the durability of effect in these scenarios.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patients complete their initial in-clinic therapy protocol, they are expected to continue Vivistim Therapy at home with functional movements for at least 90 days. At-home Vivistim Therapy sessions last thirty minutes and follow the same principles as the in-clinic therapy. Patients who do not use the device as directed, such as not turning the device on during such sessions, or who fail to engage in the recommended task-specific therapy with the appropriate frequency or at all, may experience limited or no improvement from the completion of the in-clinic therapy, may be dissatisfied with their outcomes, and may attribute such poor results to Vivistim Therapy. We have no clinical data that indicates whether functional gains from the in-clinic therapy would be reversed if patients do not complete the home therapy sessions properly or sufficiently. As such, it is possible that patient noncompliance could lead to reversal of the functional gains during in-clinic therapy. Negative patient experiences – whether due to misuse, noncompliance, or unrealistic expectations – could reduce physician and patient acceptance, harm our reputation, and adversely affect demand.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clinical outcomes supporting Vivistim Therapy have primarily been evaluated using the FMA-UE and the Wolf Motor Function Test (WMFT). Clinicians and therapists who rely on different outcome measures or standards may view our trial results as less relevant or may not accept these endpoints, and patients implanted with our device who are treated in settings that emphasize alternative scoring systems may not experience similar levels of observed benefits. Variability in accepted assessment methodologies among physicians and therapists could reduce the perceived effectiveness of, and limit adoption of Vivistim Therapy, which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trials and clinical trials of our product conducted to date and ongoing or future trials of our current or future products may not be predictive of the results of later clinical trials, and interim results of a clinical trial do not necessarily predict final results, because they may include assumptions, calculations and conclusions that may prove to be inaccurate and because we may not have received or had the opportunity to fully and carefully evaluate all data. Data and results from our clinical trials do not ensure that we will achieve similar results in future clinical trials in other patient populations, indications or in the commercial use of our products. In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 preclinical and clinical data are often susceptible to various interpretations and analyses, and many companies that have believed their products performed satisfactorily in preclinical trials and earlier clinical trials have nonetheless failed to replicate results in later clinical trials and subsequently failed to obtain marketing approval or commercial acceptance. Products in later stages of clinical trials may fail to show the desired safety and efficacy despite having progressed through non-clinical trials and earlier clinical trials. We incur substantial expenses for, and devote significant time to, clinical trials but cannot be certain that the trials will continue to support positive commercial payor reimbursement coverage or result in commercial revenue. Failure can occur at any stage of clinical testing. Our clinical trials may produce negative or inconclusive results, and we may decide, or regulators may require us, to conduct additional clinical and non-clinical testing in addition to those we have planned.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quarterly and annual results may fluctuate significantly and may not fully reflect the underlying performance of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results of operations, including our revenue, profitability, and cash flow, may vary significantly in the future, and period-to-period comparisons of our results of operations may not be meaningful. Accordingly, the results of any one quarter or other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Factors that may cause fluctuations in our quarterly and annual results include, without limitation: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level of demand for our products, which may vary significantly from period to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rate at which we grow our sales force and the speed at which newly hired TMs and TDSs become effective, and the cost and level of investment therein;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expenditures that we may incur to acquire, develop, or commercialize additional products and technologies;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degree of competition in our industry and any change in the competitive landscape of our industry;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cost of obtaining regulatory approvals or clearances for future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coverage and reimbursement policies with respect to the procedures using our products and potential future products that compete with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success or failure of clinical trials for our current or future products or any future products we develop or competing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cost of, and level of investment in, research, development, regulatory approval, and commercialization activities relating to our products, which may change from time to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of customer orders or medical procedures, the number of available selling days in a particular period, which can be impacted by a number of factors, such as holidays or days of severe inclement weather in a particular geography, the mix of products sold, and the geographic mix of where products are sold;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cost of manufacturing our products, which may vary depending on the quantity of production and the terms of our agreements with third-party suppliers and manufacturers;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timing and adequacy of supply chain to meet demand;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natural or man-made disasters, outbreaks of disease or public health crises;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nature of any future acquisitions or strategic partnerships;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future accounting pronouncements or changes in our accounting policies.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quarterly and annual results may fluctuate, period-to-period comparisons may not be the best indication of the underlying results of our business and should only be relied upon as one factor in determining how our business is performing.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this variability and unpredictability could result in our failing to meet the expectations of industry or financial analysts or investors for any period. If our revenue or results of operations fall below the expectations of analysts or investors or below any forecasts we may provide to the market, it may result in a decrease in the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our clinical trials are unsuccessful or significantly delayed, or if we do not complete our clinical trials, our business may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engaged in ongoing clinical trials of Vivistim Therapy and we may pursue other clinical trials in the future. Clinical trials can be delayed for a variety of reasons, including delays in obtaining regulatory authorization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 or lead to more positive reimbursement coverage decisions from commercial payors.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initiation and completion of any clinical trials may be prevented, delayed, or halted, or the integrity of data collected may be compromised, for numerous reasons. We may experience delays in our ongoing clinical trials for a number of reasons, which could adversely affect the costs, timing, or successful completion of our clinical trials, including new indications for our existing product,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be required to submit an Investigational Device Exemption (IDE) application to FDA, which must become effective prior to commencing certain human clinical trials of medical devices, and FDA may reject our IDE application and notify us that we may not begin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regulators and other comparable foreign regulatory authorities may disagree as to the design or conduct of our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regulators or institutional review boards (IRBs) or other reviewing bodies may not authorize us or our investigators to commence a clinical trial, or to conduct or continue a clinical trial at a prospective or specific trial site;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not reach agreement on acceptable terms with prospective contract research organizations (CROs) and clinical trial sites, the terms of which can be subject to extensive negotiation and may vary significantly among different CROs and trial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subjects or patients required for clinical trials may be larger than we anticipate, enrollment in our clinical trials may be slower than we anticipate, or we may experience high screen failure rates in our clinical trials, and the number of clinical trials being conducted at any given time may be high and result in fewer available patients for any given clinical trial, or patients may drop out of these clinical trials at a higher rate than we anticipate, each resulting in significant delays;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or may fail to comply with our clinical trial, consent or screening protocols;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clinical trials may produce negative or inconclusive results, and we may decide, or regulators may require us, to conduct additional clinical or preclinical testing which may be expensive and time-consuming;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trial results may not meet the level of statistical significance required by the FDA, other regulatory authorities, or payors;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similar foreign regulatory authorities may find the product is not sufficiently safe for investigational use in humans;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similar foreign regulatory authorities may interpret data from preclinical testing and clinical trials in different ways than we do;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may be delays or failure in obtaining approval of our clinical trial protocols from the FDA or other regulatory authorities;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have to amend clinical trial protocols or conduct additional studies to reflect changes in regulatory requirements or guidance, which we may be required to submit to an IRB or regulatory authorities for re-examination;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similar foreign regulatory authorities may find our or our suppliers’ manufacturing processes or facilities unsatisfactory;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similar foreign regulatory authorities may change their review policies or adopt new regulations that may negatively affect or delay our ability to bring a product to market or receive approvals or clearances to treat new indications;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clinical sites may not adhere to our clinical protocol or may drop out of a clinical trial;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have trouble finding patients to enroll in our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experience delays in agreeing on acceptable terms with third-party research organizations and trial sites that may help us conduct the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or regulators, may suspend or terminate our clinical trials because the participating patients are being exposed to unacceptable health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approval policies or regulations of FDA or applicable foreign regulatory agencies may change in a manner rendering our clinical data insufficient for approval;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or future products may have undesirable side effects or other unexpected characteristics.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Failures or perceived failures in our clinical trials will delay and may prevent our product development and regulatory approval process, damage our business prospects, and negatively affect our reputation and competitive position.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 treatment procedures, monitoring or follow-up to assess the safety and efficacy of a product, or they may be persuaded to participate in contemporaneous clinical trials of a competitor’s product.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From time to time, we engage outside parties to perform services related to certain of our clinical trials. If these third parties do not successfully carry out their contractual duties or meet expected deadlines, we may not be able to obtain regulatory approval for or commercialize our product candidates or obtain positive commercial reimbursement coverage for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our devices produced under Quality Systems Regulations (the QSR) requirements and other regulations. From time to time, we engage consultants to help design, monitor and analyze the results of certain of our clinical trials, and we may have limited influence over their actual performance. The consultants we engage interact with clinical investigators to enroll patients in our clinical trials. We depend on these consultants and clinical investigators to conduct clinical trials and monitor and analyze data from these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trials or trials may be extended, delayed or terminated or may otherwise prove to be unsuccessful, and we may have to conduct additional trials, which would significantly increase our costs.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long-term growth depends in part on our ability to innovate and enhance our Vivistim System, expand our approved indications and develop and commercialize additional products in a timely manner. If we fail to identify, acquire, or develop other products, we may be unable to grow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Vivistim Therapy is highly competitive, dynamic, and marked by rapid and substantial technological development and product innovation. New entrants or existing competitors could attempt to develop products that compete directly with ours. Demand for Vivistim Therapy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products is expensive and time-consuming and could divert management’s attention away from our core business. The success of any new product offering or product enhancements to our solution will depend on several factors, including our ability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 an effective and dedicated commercial team;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assemble sufficient resources to acquire or discover additional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receive adequate coverage and reimbursement for procedures performed with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 and introduce new products and product enhancements in a timely manner;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properly identify and anticipate physician and patient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anticipate and respond to competitive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avoid infringing upon the intellectual property rights of third-parties and protect our own intellectual property rights;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demonstrate, if required, the safety and efficacy of new products or new indications with data from preclinical trials and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 and maintain the necessary regulatory clearances or approvals for expanded indications, new products, or product modifications;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 fully FDA-compliant with marketing of new devices or modified products;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timely and effective customer and technical support;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produce new products of an acceptable quality, in commercial quantities at an acceptable cost;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adequate training to physicians implanting and patients using of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would allocate greater resources to research and development programs. Our failure or inability to devote adequate research and development resources or compete effectively with the research and development programs of our competitors could harm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choose to focus our efforts and resources on potential products or indications that ultimately prove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success is highly dependent on our ability to attract and retain highly skilled executive officers and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succeed, we must continue to recruit, retain, manage, and motivate qualified executives as we build out the management team, and we face significant competition for experienced personnel. We are highly dependent on executive officers, other members of senior management, as well as on our sales personnel, which includes TMs and TDSs.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medical device and neurostimulation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other medical device, life science, and 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our business performance declines, we may be unable to offer competitive compensation packages, which could make it difficult to retain our current sales personnel. Additionally, if our competitors increase the compensation offered to their sales personnel, we may be required to increase our own compensation levels, which could increase our operating expenses and negatively impact our profitability. If we fail to increase our own compensation levels to match that of competitors, we may be unable to attract or retain our existing TMs and TDSs, or to attract new TMs or TDSs, which would prevent us from expanding our business and generating sales. If we are unable to continue to attract and retain high-quality sales personnel, the rate and success at which we can discover, develop, and commercialize our current and future products will be limited and the potential for successfully growing our business will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job candidates and existing employees often consider the value of the share awards they receive in connection with their employment. If the perceived value of our share awards declines, it may harm our ability to recruit and retain highly skilled employees. Many of our employees have become or will soon become vested in a substantial amount of our common stock or a number of common stock underlying options. Our employees may be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 likely to leave our company if the common stock they own has significantly depreciated in value relative to the original purchase prices of the common stock, or if the exercise prices of the options that they hold are significantly above the market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product liability lawsuits are brought against us, we may incur substantial liabilities and may be required to limit or halt the marketing and sale of our Vivistim System. The expense and potential unavailability of insurance coverage for liabilities resulting from our Vivistim System could harm us and our ability to sell our Vivistim System.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as a result of the marketing and sale of our products. For example, we may be sued if our products cause or are perceived to cause injury or are found to be otherwise unsuitable.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physicians to implant our Vivistim System in patients. If these physicians are not properly trained, do not appropriately screen out patients who are contraindicated or otherwise not well-suited for an implant procedure or general anesthesia, or are negligent, the capabilities of our products may be diminished, or the patient may suffer critical injury. We may also be subject to claims that are caused by the activities of our suppliers, such as those who provide us with components and sub-assemblies.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decreased demand for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injury to our reputation;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initiation of investigations by regulators;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costs to defend the related litigation;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diversion of management’s time and our resources;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exhaustion of any available insurance and our capital resources;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inability to market and sell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carry product liability insurance,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terms of our loan and security agreement places restrictions on our operations and financial covenants and place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a loan and security agreement (the Loan and Security Agreement) with Horizon Technology Finance Corporation as lender and collateral agent.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available at various dates (the Commitments). The Company's ability to draw additional loans under the Loan and Security Agreement expired on December 31, 2025. The Loan and Security Agreement matures on January 1, 2029. As of December 31, 2025, there was $7.5 million outstanding under the Loan and Security Agreement, representing the full available aggregate principal amount under the Loan and Security Agreement, and no additional tranches are available to draw down under the Loan and Security Agreement in the future.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Borrowings under the Loan and Security Agreement bear interest at an annual rate equal to the greater of (i) The Wall Street Journal (or any successor thereto) prime rate (subject to a floor of 8.50%) plus 3.75%, and (ii) 12.25%. Amounts outstanding under the Loan and Security Agreement are secured by substantially all of our assets, excluding intellectual property. We must make interest payments under the Loan and Security Agreement, which have diverted and will continue to divert resources from other activities. The Loan and Security Agreement includes customary affirmative and negative covenants and events of default. The covenants related to the Loan and Security Agreement, as well as any future financing agreements into which we may enter, may restrict our ability to finance our operations and engage in, expand or otherwise pursue our business activities and strategies.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we have not previously breached and are not currently in breach of these or any other covenants contained in the Loan and Security Agreement, there can be no guarantee that we will not breach these covenants or any covenants under any other debt arrangements in the future. Our ability to comply with these covenants may be affected by events beyond our control, and future breaches of any of these covenants could result in a default under the Loan and Security Agreement. If not waived, future defaults could cause all of the outstanding indebtedness under the Loan and Security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default under the Loan and Security Agreement, Horizon will be able to declare all obligations immediately due and payable and take control of our pledged assets, potentially requiring us to renegotiate our agreement on terms less favorable to us or to immediately cease operations. The lenders could declare a default under the Loan and Security Agreement upon the occurrence of specific events such as our failure to pay or our failure to comply with specified covenants, thereby requiring us to repay the loan immediately. Any declaration by the lenders of an event of default could significantly harm our business and prospects and could cause the price of our common shares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Cost-containment efforts of our customers, purchasing groups and governmental organizations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an effort to reduce costs, many hospitals and ambulatory surgery centers (ASCs) in the United States have become members of group purchasing organizations (GPOs) and integrated delivery networks (IDNs). GPOs and IDNs negotiate pricing arrangements with medical device companies and distributors and then offer these negotiated prices to affiliated hospitals, ASCs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Accordingly, even if we secure a contract with a GPO or an IDN, we nonetheless need to negotiate contracts or purchase orders with individual GPO or IDN members, which can further increase the length of our sales cycle, increase sales costs and means that our sales success is uncertain even if we contract with a GPO or IDN. Furthermore, the members of such groups may choose to purchase alternative products due to the price or quality offered by other companies, which could result in a decline in our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or our third-party providers fail to protect confidential information and/or experience data security incidents, there may be damage to our brand and reputation, material financial penalties, and legal liability, which could materially and adversely affect our business, results of operations and financial condition.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financial records, facilitate our research and development initiatives, manage our manufacturing operations, maintain quality control, fulfill customer orders, maintain corporate records, communicate with staff and external parties and operate other critical functions. We and certain of our third-party providers collect, maintain and process data about customers, employees, business partners and others, including information about individuals, as well as confidential or proprietary information belonging to our business such as trade secrets (collectively, Confidential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earthquakes and hurricanes, fires, floods and other natural or man-made disasters, social engineering/phishing, malware (including ransomware), malfeasance by insiders, human or technological error, and as a result of malicious code embedded in open-source software, or misconfigurations, bugs or other vulnerabilities in commercial software that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is integrated into our (or our suppliers’ or service providers’) IT Systems, products or services. Because we make extensive use of third party suppliers and service providers, such as cloud services that support our internal and customer-facing operations, successful cyberattacks that disrupt or result in unauthorized access to third party IT Systems can materially impact our operations and financial results.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because our products and services are integrated with third party systems and processes, any circumvention or failure of our cybersecurity defenses or measures could compromise the confidentiality, integrity, and availability of the third parties’ IT Systems and/or Confidential Information as well.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any integration of artificial intelligence (AI) in our or any service providers’ operations, products or services is expected to pose new or unknown cybersecurity risks and challenges. The development, adoption, and use of AI is still in early stages, and ineffective or inadequate AI development or deployment practices by us or any service providers could result in unintended consequences that could materially harm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detect, investigate, remediate or recover from future attacks or incidents, or to avoid a material and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IT Systems and/or Confidential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and 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Artificial intelligence presents risks and challenges that can impact our business, including by posing security risks to our confidential information, proprietary information and personal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Issues in the use of AI,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generative AI tools throughout our business, including into our information systems. Our vendors may incorporate generative AI tools into their services and offerings without disclosing this use to us, and the providers of these generative AI tools may not meet existing or rapidly evolving regulatory or industry standards with respect to data privacy and data protection and may inhibit our or our vendors’ ability to maintain an adequate level of service and experience. Any integration of AI in our or any third party’s operations, products or services is expected to pose new or unknown cybersecurity risks and challenges. If we, our vendors, or our third-party partners experience an actual or perceived breach or data privacy or security incident because of the use of generative AI, we may lose valuable intellectual property and Confidential Information and our reputation and the public perception of the effectiveness of our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Macroeconomic conditions could harm our business, financial condition and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and results of operations. Recent macroeconomic conditions have been adversely impacted by geopolitical instability and military hostilities in multiple geographies and monetary and financial uncertainties.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imposition of tariffs and other trade measures, supply chain constraints, logistics challenges, liquidity concerns in the broader financial services industry and fluctuations in labor availability.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To the extent we expand sales of our products internationally in the future, we will be exposed to additional risks associated with international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do not currently market outside of the United States, sales of products internationally will be subject to foreign regulatory requirements governing clinical trials and marketing approval. To the extent we expand sales of our products internationally in the future, we will incur substantial expenses. Additional risks related to operating in foreign countries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differing and evolving regulatory requirements and reimbursement regimes in foreign countries;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unexpected changes in tariffs, trade barriers, price and exchange controls and other regulatory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economic weakness, including inflation, or political or social instability in particular foreign economies and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weaker intellectual property protections in certain foreign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compliance with tax, employment, immigration, and labor laws for employees living, working, or traveling abroad;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foreign taxes, including withholding of payroll taxes;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difficulties staffing and managing foreign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workforce uncertainty in countries where labor unrest is more common than in the United States;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liability under the U.S. Foreign Corrupt Practices Act (FCPA) or comparable foreign regulations;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there may be intellectual property held by third parties specific to one or more of those jurisdictions that would limit our ability to distribute the product without a license;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business interruptions resulting from geo-political actions, including war and terrorism.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risks associated with our international operations may materially and adversely affect our ability to attain or maintain profitable operations, which would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can be no guarantee that we will receive marketing authorization to sell our products in every international market we target, nor can there be any guarantee that any sales would result even if such authorization is received. Regulatory requirements can vary widely from country to country and could delay the introduction of our products in those countries. Our inability to successfully enter all our desired international markets and manage business on a global scale could materially and adversely affect our business, financial results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acquire other companies’ technologies or intellectual property, which could fail to result in a commercial product or net sales, divert our management’s attention, result in additional dilution to our stockholders and otherwise disrupt our operations and materially and adversely affect our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in the future seek to acquire or invest in businesses, applications, technologies or intellectual property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 We may also be unable to identify all material liabilities associated with companies we acquire and any indemnities which we receive from the target in connection with an acquisition may be unavailable or insufficient to cover such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date, the growth of our operations has been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materially and adversely affect our results of operations. In addition, if an acquired business fails to meet our expectations, our business, financial condition and results of operations may be materially and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use our net operating loss carryforwards or certain other tax attributes to offset future taxable income or income taxes, as applicable, may be subject to certain limitations.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U.S. federal net operating loss (NOL) carryforwards of approximately $127.4 million and $88.4 million, respectively. For U.S. federal income tax purposes, NOLs generated in tax years beginning before January 1, 2018, can be carried forward for up to 20 years, and NOLs generated in tax years beginning after December 31, 2017, can be carried forward indefinitely but can only offset up to 80% of taxable income in any given tax year beginning after December 31, 2020. Of the total U.S. federal NOL carryforward as of December 31, 2025, $22.1 million will begin to expire in 2027 and $105.3 million will not expire but will be subject to the 80% utilization limit.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U.S. federal NOL carryforwards could expire unused, to the extent subject to expiration, and be unavailable to offset future taxable income because of their limited duration or because of restrictions under U.S. federal law.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Sections 382 and 383 of the Internal Revenue Code of 1986, as amended (the Code), if a corporation undergoes an “ownership change” (generally defined as a cumulative change in our ownership by “5-percent shareholders” that exceeds 50 percentage points (by value) over a rolling three-year period), the corporation’s ability to use its pre-change NOL carryforwards or certain other pre-change tax attributes to offset its post-change taxable income or income taxes, as applicable, may be limited. Similar rules may apply under state tax laws. We believe (but have not undertaken any formal analysis or other assessment to determine) that no such ownership changes have occurred to date. Our ability to utilize our NOL carryforwards or other tax attributes to offset future taxable income or income taxes, as applicable, may be limited if such ownership changes have occurred. Furthermore, we may experience ownership changes as a result of this offering or in the future as a result of subsequent shifts in our stock ownership, some of which are outside our control, which could limit (or further limit) our ability to use our NOL carryforwards and other tax attributes. We have not conducted any studies to determine future annual limitations, if any, that could result from such changes in our stock ownership. Any such limitations on our ability to utilize our NOL carryforwards and certain other tax attributes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in tax laws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could be enacted at any time, or interpreted, changed, modified or applied adversely to us. The likelihood of any such changes being enacted or implemented is uncertain. We are currently unable to predict whether such changes will occur and, if so, the ultimate impact on our business. To the extent that such changes have a negative impact on us, our customers or our suppliers, including as a result of related uncertainty, these changes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Taxing authorities may successfully assert that we should have collected or in the future should collect sales and use, value added or similar taxes, and we could be subject to liability with respect to past or future sales, which could materially and adversely affect our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collect sales and use, value added, and similar taxes in all jurisdictions in which we have sales, based on our belief that such taxes are not applicable. Sales and use, value added, and similar tax laws and rates vary greatly by jurisdiction. Any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materially and adversely affect the results of our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Intellectual Property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maintain existing, and obtain additional, patent and other intellectual property protection for our technology and products, or if the scope of the patent protection we obtained is not sufficiently broad, we may not be able to compete effectively in our markets.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to maintain existing, and obtain additional, patent and other intellectual property protection in the United States and other countries with respect to our products and technology we develop.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protected and seek to protect our position by in-licensing intellectual property relating to our products and filing patent applications in the United States and abroad related to our technologies and products that are important to our business. Our ability to protect our products from unauthorized copying or recreation by third parties may be limited by the extent that such products are covered by valid and enforceable patents or include information that is effectively maintained as a trade secret. The actual protection afforded by a patent varies on a product-by-product basis, from country to country and depends upon many factors, including the type of patent and the scope of its coverage. For example, we rely on patents covering how the Vivistim System is used, commonly referred to as method patents.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a combination of contractual provisions, confidentiality procedures and copyright, trademark, trade secret, and other intellectual property rights to protect the proprietary aspects of our brand, technologies, and data. These legal measures afford only limited protection, and competitors or others may gain access to or use our intellectual property and Confidential Information. Our success will depend, in part, on obtaining and maintaining patents, preserving our trade secrets, maintaining the security of our data and know-how, and obtaining other intellectual property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or other restrictive covenant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or will be the first to make the inventions claimed in our owned or any licensed patents or pending patent applications, or that we were or will be the first to file for patent protection of such inventions.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that are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Given that patent applications are confidential for a period of time after filing, we cannot be certain that we were the first to file any patent application related to our products.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with third parties. If we are unable to obtain an exclusive license to any such third-party co-owners’ interests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significant resources to advertising and marketing new brands, and suffer other competitive harm. Third parties may also adopt trademarks similar to ours, which could harm our brand identity and lead to market confusion.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also be subject to claims by our current or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materially and adversely affect our competitive position,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intellectual property litigation or administrative proceedings can be costly and could interfere with our ability to sell and market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United States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We may receive inquiries regarding our intellectual property, notices or “invitations to license,” or may be the subject of claims that our products and business operations infringe or violate the intellectual property rights of others.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defense of intellectual property litigation can be time consuming and costly, can divert management’s attention and resources, damage our reputation and brand, and cause us to incur significant expenses or make substantial payments, whether or not we receive a determination favorable to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In the United States, in order to successfully challenge the validity of a patent in federal court, we would need to overcome a presumption of validity. This standard of proof is a high one, requiring us to present clear and convincing evidence of the invalidity of each asserted claim of the patent. There is no assurance that the court would agree that we had met that standard. Conversely, the patent owner needs only to prove infringement by a preponderance of the evidence, which is a lower standard of proof. If a court of competent jurisdiction should hold that third-party patents are valid, enforceable, and infringed, this could materially and adversely affect our ability to commercialize any products or technology we may develop, and any other products or technologies covered by the asserted third-party patents.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if patents, trademarks, or trade secrets are successfully asserted against us, this may harm our business and result in injunctions preventing us from developing, manufacturing, or selling our products or offering certain therapies with Vivistim Therapy, or result in obligations to pay license fees, damages, attorney fees, and court costs, which could be significant. In addition, if we are found to willfully infringe third-party patents or trademarks or to misappropriate trade secrets, we could be required to pay treble damages in addition to other penalties.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Although patent,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could be forced to cease some aspects of our business operations. Any of these events could materially and adversely affect our business, financial condition, and results of operations. </w:t>
      </w:r>
    </w:p>
    <w:p>
      <w:pPr>
        <w:pStyle w:val="TextBody"/>
        <w:bidi w:val="0"/>
        <w:spacing w:lineRule="auto" w:line="288" w:before="0" w:after="180"/>
        <w:jc w:val="left"/>
        <w:rPr/>
      </w:pPr>
      <w:r>
        <w:rPr>
          <w:rFonts w:ascii="Times New Roman;serif" w:hAnsi="Times New Roman;serif"/>
          <w:b w:val="false"/>
          <w:color w:val="000000"/>
          <w:sz w:val="20"/>
        </w:rPr>
        <w:t xml:space="preserve">Similarly, interference proceedings provoked by third parties or brought by the U.S. Patent and Trademark Office (the USPTO), may be necessary to determine priority of, or ownership rights in, our patents, patent applications, trademarks, or trademark applications. We may also become involved in other proceedings, such as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derivation or opposition proceedings relating to our or a third party’s patents or patent applications, or cancellation or opposition proceedings relating to our or a third party’s registered trademarks, before the USPTO or the equivalent body in other jurisdictions. Adverse determinations in a judicial or administrative proceeding or failure to obtain necessary licenses could prevent us from manufacturing our products or using product names, which would have a material adverse effect on our business, financial condition, and results of operations. </w:t>
      </w:r>
    </w:p>
    <w:p>
      <w:pPr>
        <w:pStyle w:val="TextBody"/>
        <w:bidi w:val="0"/>
        <w:spacing w:lineRule="auto" w:line="288" w:before="0" w:after="180"/>
        <w:jc w:val="left"/>
        <w:rPr/>
      </w:pPr>
      <w:r>
        <w:rPr>
          <w:rFonts w:ascii="Times New Roman;serif" w:hAnsi="Times New Roman;serif"/>
          <w:b w:val="false"/>
          <w:color w:val="000000"/>
          <w:sz w:val="20"/>
        </w:rPr>
        <w:t xml:space="preserve">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on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outcome following legal assertions of invalidity and unenforceability is unpredictable. If a third party were to prevail over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proceedings relating to intellectual property claims may cause us to incur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current or future licensors fail to maintain the patents and patent applications that we in-license, our competitors may be able to enter the market, which would have a material adverse effect on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terms of our patents may not be sufficiently long to effectively protect our products and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the natural expiration of a patent is generally 20 years after its first effective non-provisional filing date but can be shorter due to terminal disclaimers or similar term reductions in other jurisdictions. Although various extensions may be available, the term of a patent, and the protection it affords, are limited. Even if patents covering our technologies or products are obtained, once the patent term has expired, we may be open to competition. In addition, although upon issuance in the United States, a patent’s term can be increased based on certain delays caused by the USPTO, this increase can be reduced or eliminated based on certain delays caused by the patent applicant during patent prosecution. Given the amount of time required for the development, testing, and regulatory review of products, patents protecting such product candidates might expire before or shortly after such products are commercialized. If we do not have sufficient patent life to protect our technologies and products, our business, financial condition, and results of operations will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of a patent claim is a legal conclusion that rests upon consideration of the written disclosure in a patent, the patent’s prosecution history, and usage by artisans in the relevant field.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materially and adversely impact our ability to develop and market our products.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Reliance on third parties may require us to share our trade secrets, which increases the possibility that a competitor will discover them or that our trade secrets will be misappropriated or disclosed.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rely on third parties to manufacture Vivistim Therapy, or any future products, or if we collaborate with third parties on future developments for Vivistim Therapy, or other future products, we may need to, at times, share trade secrets with them. We may also conduct research and development programs that may require us to share trade secrets under the terms of our research and development partnerships or similar agreements. We seek to protect our trade secrets and other proprietary technology in part by entering into confidentiality agreements with third parties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disclosing Confidential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typically restrict the ability of our advisors, employees, third-party contractors, and other service providers to publish data potentially relating to our trade secrets. Despite our efforts to protect our trade secrets, our competitors may discover our trade secrets, either through breach of our agreements with third parties, independent development, or publication of information by any of our third-party collaborators.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third parties who are parties to these agreements breaches or violates the terms of any of these agreements, we may not have adequate remedies for any such breach or violation, and we could lose our trade secrets as a result. A competitor’s discovery of our trade secrets would impair our competitive position and have a material adverse effect on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independent contractors have wrongfully used or disclosed confidential information of third parties.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employees, consultants, and contractors were previously employed at or engaged by other medical device, biotechnology, or pharmaceutical companies, including our competitors or potential competitors. Some of these employees, consultants, and contractors may have executed proprietary rights, non-disclosure, non-competition or other restrictive covenant agreements in connection with such previous employment or engagement. Although we try to ensure that our employees and consultants do not use the intellectual property, confidential information, know-how, or trade secrets of others in their work for us, we may be subject to claims that we or these individuals have, inadvertently or otherwise, misappropriated the intellectual property or disclosed the alleged trade secrets or other confidential information of these former employers or competitors.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be subject to claims from third parties challenging our ownership interest in intellectual property we regard as our own, based on claims that our employees, consultants, or contractors have breached an obligation to assign inventions to another employer, to a former employer, or to another person or entity. Litigation may be necessary to defend against any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confidential information of the former employers.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TMs or TDSs. A loss of key personnel or their work product could hamper or prevent our ability to commercialize our products, which could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challenging the inventorship or ownership of our future patents and other intellectual property.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ownership interest in our patent applications, our future patents, or other intellectual property, including as an inventor or co-inventor. We may be subject to ownership or inventorship disputes in the future arising from, for example, conflicting obligations of consultants, contractors, or others who are involved in developing our products. Our success depends in part on our ability to obtain, maintain, protect, and enforce our intellectual property rights, including our patent rights, preserve the confidentiality of our trade secrets, and operate without infringing, misappropriating, or otherwise violating the intellectual property rights of others. We rely on a combination of patents, trademarks, trade secrets, and other intellectual property rights to protect the products and technology that we consider important to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it is our policy to require our employees and contractors who may be involved in the conception or development of products, technology, know-how, and other proprietary materials (collectively, the Technology) to execute agreements assigning all intellectual property rights in and to such Technology to us, we may be unsuccessful in executing such an agreement with each party who, in fact, conceives or develops Technology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rights to develop and commercialize our products are subject, in part, to the terms and conditions of licenses granted to us by others.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upon licenses to certain patent rights and proprietary technology from third parties that are important or necessary to the development of our products and technology.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the underlying patents fail to provide the intended exclusivity, competitors will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 the future, we may enter agreements involving licenses or collaborations that provide for access or sharing of intellectual property. If we fail to comply with our obligations under any license, collaboration, or other agreement, we may be required to pay damages and could lose intellectual property rights that are necessary for developing and protecting our current and future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Disputes may arise between us and our future licensors regarding intellectual property subject to a license agreement,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scope of rights granted under the license agreement and other interpretation-related issues;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and the extent to which our technology and processes infringe on intellectual property of the licensor that is not subject to the licensing agreement;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right to sublicense patents and other rights to third parties;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diligence obligations with respect to the use of the licensed technology in relation to our development and commercialization of our products, and what activities satisfy those diligence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right to transfer or assign the license;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ownership of inventions and know-how resulting from the joint creation or use of intellectual property by any of our future licensors and us and our partners.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patents may be invalid or unenforceable, and such applications may never result in valid, enforceable patents. Any of these outcomes could impair our ability to prevent competition from third parties, which may have a material adverse effect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technology which is critical to our business that is developed in whole or in part with federal funds subject to the Bayh-Dole Act, our ability to enforce or otherwise exploit patents covering such technology may be materially and adversely affected.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obtaining necessary rights to any products we may develop through acquisitions and in-licenses.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collaboration or partnership arrangements that we may enter into in the future may not be successful, which could materially and adversely affect our ability to develop and commercialize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future collaborations that we enter into may not be successful. The success of our collaboration arrangements will depend heavily on the efforts and activities of our collaborators. Collaborations are subject to numerous risks, which may include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our current and future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collaborator with marketing, manufacturing, and distribution rights to one or more products may not commit sufficient resources to or otherwise not perform satisfactorily in carrying out these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could grant exclusive rights to our collaborators that would prevent us from collaborating with others;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may not properly maintain or defend our intellectual property rights or may use our intellectual property or Confidential Information in a way that gives rise to actual or threatened litigation that could jeopardize or invalidate our intellectual property or Confidential Information or expose us to potential liability;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disputes may arise between us and a collaborator that cause the delay or termination of the research, development, or commercialization of our current or future products, or that result in costly litigation or arbitration that diverts management attention and resources;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current or future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may own or co-own intellectual property covering our products that result from our collaborating with them, and in such cases, we would not have the exclusive right to develop or commercialize such intellectual property;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collaborator’s sales and marketing activities or other operations may not be in compliance with applicable laws, resulting in civil or criminal proceedings.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other Confidential Information, our business and competitive position may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patent protection, we also rely on other proprietary rights, including protection of trade secrets, and other Confidential Information that is not patentable or that we elect not to patent. However, trade secrets can be difficult to protect, and some courts are less willing or unwilling to protect trade secrets. To maintain the confidentiality of our trade secrets and Confidential Information, we rely heavily on confidentiality provisions and other restrictive covenants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Confidential Information in the event of any unauthorized use, misappropriation, or disclosure of such trade secrets, know-how, or other Confidential Information. There can be no assurance that such third parties will not breach their agreements with us, that we will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have adequate remedies for any breach, or that our trade secrets will not otherwise become known or independently developed by competitors. Despite the protections we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materially and adversely affect our ability to expand to international markets or require costly efforts to protect our technology.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our intellectual property or other Confidential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materially and adversely harm the value of our products, brand, and business. The theft or unauthorized use or publication of our trade secrets and other Confidential Information could reduce the differentiation of our products and harm our business, the value of our investment in development or business acquisitions could be reduced, and third parties might make claims against us related to losses of their confidential information. Any of the foregoing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in U.S. patent law or the patent law of other countries or jurisdictions could diminish the value of our patents in general, thereby impairing our ability to protect our products and could increase the uncertainties and costs surrounding the prosecution of our patent applications and the enforcement or defense of our current or future patents.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has enacted and implemented wide-ranging patent reform legislation, and further patent reform legislation may pass in the future that could lead to additional uncertainties and increased costs surrounding the prosecution, enforcement, and defense of our patents and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predict future changes in the interpretation of patent laws in the United States and other countries or changes to patent laws that might be enacted into law by U.S. and foreign legislative bodies. Those changes may materially and adversely affect our patents or patent applications and our ability to obtain additional patent protection in the future. Any of the foregoing could have a material adverse effect on our competitive position,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rights throughout the world, which could impair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covering Vivistim Therapy, and any of our future products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licensed patents, and any future patent claims or other intellectual property rights may not be effective or sufficient to prevent them from so competing.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to our competitive advantage.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others may be able to make products that are similar to our current or future products we intend to commercialize that are not covered by the patents that we exclusively licensed and have the right to enforce;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in-license necessary for the manufacture, use, sale, offer for sale, or importation of one or more of our current or future products may be terminated by the licensor;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or any of our current or future licensors or collaborators might not have been the first to make the inventions covered by the issued patents or pending patent applications that we own;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or any of our current or future licensors might not have been the first to file patent applications covering certain of our inventions;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intellectual property rights;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it is possible that our pending patent applications will not lead to issued patents;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issued patents that we own may not provide us with any competitive advantages, or may be held invalid or unenforceable as a result of legal challenges;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patents of others may have an adverse effect on our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not develop additional proprietary technologies that are patentable.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use of “open source” software could subject the proprietary software we use to general release, materially and adversely affect our ability to sell our products and subject us to possible litigation.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a portion of the products or technologies licensed, developed, or distributed by us, including as incorporated into software we receive from third-party commercial software vendors,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the software we utilize in connection with open source software could require that we disclose and license some or all of our proprietary code in that software, as well as distribute our products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our trademarks and tradenames are not adequately protected, then we may not be able to build name recognition in our markets and our business may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trademarks, service marks, tradenames, and brand names to distinguish our products from the products of our competitors and have registered or applied to register these trademarks.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products, which could result in loss of brand recognition and could require us to devote resources towards advertising and marketing new brands.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have not registered the name “MicroTransponder,” “Mobia” or “Mobia Medical” as a word trademark in the United States on the principal register, although we have obtained registration of the name “MicroTransponder” on the supplemental register. Registration on the principal register offers certain protections not provided to registrations on the supplemental register, including the right to obtain statutory damages and attorneys’ fees in connection with third party infringement of the trademark, the right to register a mark with U.S. Customs to prevent the importation of goods that contain infringing marks and the ability to seek incontestability status after five years of registration on the primary register. Without a registered trademark on the principal register, we may encounter difficulty in enforcing, or be unable to enforce, the name “MicroTransponder,” “Mobia” or “Mobia Medical” against third parties in the United States, which could adversely affect our business and our ability to effectively compete in the marketplace.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materially and adversely affected.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Government Regulation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products and operations are subject to extensive government regulation and oversight in the United States, and our failure to comply with applicable requirements could materially and adversely affect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complaint procedures and protocols, including documentation thereof;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FDA inspectional observations;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 For example, following a routine FDA inspection in March 2026, we received a notice of inspectional observations, or Form 483, with one observation involving two events for which a medical device report was not submitted within 30 days of receiving or otherwise becoming aware of information regarding such events. These events have since been reported and we believe we have since addressed this observation with a corrective and preventative action plan, which included streamlined procedures for evaluating potential adverse events and training for relevant personnel at the Company regarding these procedures and reporting. We submitted a formal written response to FDA in April 2026. To date, the FDA has not taken any further action with respect to the inspection or its findings.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maintain marketing authorizations for our products, or to timely obtain necessary marketing authorizations for our future products, may have a material and adverse effect on our business, financial condition and results of operations.</w:t>
      </w:r>
    </w:p>
    <w:p>
      <w:pPr>
        <w:pStyle w:val="TextBody"/>
        <w:bidi w:val="0"/>
        <w:spacing w:lineRule="auto" w:line="288" w:before="0" w:after="180"/>
        <w:jc w:val="left"/>
        <w:rPr/>
      </w:pPr>
      <w:r>
        <w:rPr>
          <w:rFonts w:ascii="Times New Roman;serif" w:hAnsi="Times New Roman;serif"/>
          <w:b w:val="false"/>
          <w:color w:val="000000"/>
          <w:sz w:val="20"/>
        </w:rPr>
        <w:t xml:space="preserve">Our products are subject to extensive regulation by the FDA and the Federal Communications Commission (the FCC) in the United States and by regulatory agencies in other countries where we do business. For medical devices involving radio frequency (RF) wireless technologies, the FDA’s policies on wireless medical devices coordinate with the FCC. 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(PMA) application, or grant of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lineRule="auto" w:line="288" w:before="0" w:after="180"/>
        <w:jc w:val="left"/>
        <w:rPr/>
      </w:pPr>
      <w:r>
        <w:rPr>
          <w:rFonts w:ascii="Times New Roman;serif" w:hAnsi="Times New Roman;serif"/>
          <w:b w:val="false"/>
          <w:color w:val="000000"/>
          <w:sz w:val="20"/>
        </w:rPr>
        <w:t xml:space="preserve">In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request, the applicant will receive authorization to market the device. This device type may be used subsequently as a predicate device for future 510(k) submissions.</w:t>
      </w:r>
    </w:p>
    <w:p>
      <w:pPr>
        <w:pStyle w:val="TextBody"/>
        <w:bidi w:val="0"/>
        <w:spacing w:lineRule="auto" w:line="288" w:before="0" w:after="180"/>
        <w:jc w:val="left"/>
        <w:rPr/>
      </w:pPr>
      <w:r>
        <w:rPr>
          <w:rFonts w:ascii="Times New Roman;serif" w:hAnsi="Times New Roman;serif"/>
          <w:b w:val="false"/>
          <w:color w:val="000000"/>
          <w:sz w:val="20"/>
        </w:rPr>
        <w:t xml:space="preserve">The PMA approval, 510(k) clearance and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request. Despite the time, effort and cost, a device may not obtain marketing authorization by the FDA. We have obtained PMA approval for Vivistim Therapy, and we must obtain marketing authorization for any future devices we develop or future additional indications for Vivistim Therapy,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any modification to a medical device for which we have obtained a PMA may require us to submit a new PMA or PMA supplement and obtain FDA approval. For example, certain changes to an approved device, such as changes in manufacturing facilities, methods, or quality control procedures, or changes in the design performance specifications, which affect the safety or effectiveness of the device, require submission of a PMA supplement.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We have made modifications to our approved Vivistim Therapy and submitted and received approval of PMA supplements in the past. We may make modifications or add additional features in the future to Vivistim Therapy that we believe do not require a new approval of a PMA or PMA supplement. If the FDA disagrees with our determination and requires us to seek new marketing authorizations for the modifications for which we have concluded that new marketing authorizations are unnecessary, we may be required to cease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can delay, limit or deny marketing authorization of a device for many reasons,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inability to demonstrate to the satisfaction of the FDA that our products are substantially equivalent to a predicate device or are safe and effective for their intended uses;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disagreement of the FDA with the design or implementation of clinical trials or the interpretation of data from preclinical trials or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serious and unexpected adverse device effects experienced by participants in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data from preclinical trials and clinical trials may be insufficient to support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or approval, where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inability to demonstrate that the clinical and other benefits of the device outweigh the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manufacturing process or facilities we use may not meet applicable requirements;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untitled letters or warning letters;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fines, injunctions, consent decrees, and civil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recalls, termination of distribution, administrative detention, or seizure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notifications or repair, replacement, or refunds;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or refusal to grant our requests for future clearances, de novo classifications or approvals, or comparable foreign marketing authorizations of new products, new intended uses, or modifications to existing products;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withdrawals or suspensions of any granted marketing authorizations, resulting in prohibitions on sales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FDA refusal to issue certificates to foreign governments needed to export products for sale in other countries;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criminal prosecution.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these sanctions could result in negative publicity, higher than anticipated costs or lower than anticipated sales and have a material adverse effect on our reputation, business, financial condition and results of operations.</w:t>
      </w:r>
    </w:p>
    <w:p>
      <w:pPr>
        <w:pStyle w:val="TextBody"/>
        <w:bidi w:val="0"/>
        <w:spacing w:lineRule="auto" w:line="288" w:before="0" w:after="180"/>
        <w:jc w:val="left"/>
        <w:rPr/>
      </w:pPr>
      <w:r>
        <w:rPr>
          <w:rFonts w:ascii="Times New Roman;serif" w:hAnsi="Times New Roman;serif"/>
          <w:b w:val="false"/>
          <w:color w:val="000000"/>
          <w:sz w:val="20"/>
        </w:rPr>
        <w:t xml:space="preserve">In addition, the FDA may change its marketing authorization policies which may affect future products. The FDA may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color w:val="000000"/>
        </w:rPr>
        <w:t>“</w:t>
      </w:r>
      <w:r>
        <w:rPr>
          <w:rFonts w:ascii="Times New Roman;serif" w:hAnsi="Times New Roman;serif"/>
          <w:b w:val="false"/>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Vivistim Therapy, and any marketing authorization we may receive for future products, is, and will be, limited to specified indications for use. We train our commercial team, including our direct sales force, to not promote our device for use outside of the FDA-authorized indications for use, known as “off-label uses.” However, this training may not be effective in preventing all instances of off-label promotion. We cannot, in addition,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healthcare professionals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even if we are ultimately successful in our defense, product liability claims could divert management’s attention from our core business, be expensive to defend, and result in sizeable damage awards against us that may not be covered by insurance, all of which would have a material adverse effect on our business, financial condition and results of operations.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United States, the methods used in, and the facilities used for, the manufacture of medical devices must comply with the FDA’s Current Good Manufacturing Practices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On February 23, 2024, the FDA issued a final rule to amend the QSR to align more closely with the International Organization for Standardization (ISO) standards. Specifically, this final rule, which the FDA expects to go into effect on February 2, 2026, replaces the QSR with the Quality Management System Regulation (QMSR), and among other things, incorporates by reference the quality management system requirements of ISO 13485:2016. Although the FDA has stated that the standards contained in ISO 13485:2016 are substantially similar to those set forth in the QSR, it is unclear the extent to which this final rule, once effective, could impose additional or different regulatory requirements on us that could increase the costs of compliance or otherwise create market pressure that may negatively affect our business. Furthermore, we are required to verify that our suppliers maintain facilities, procedures, and operations that comply with our quality standards and applicable regulatory requirements. The FDA enforces the QSR, and is expected to enforce the QMSR,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to ensure compliance, we or 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Any of these actions could significantly and negatively affect supply of our products. If any of these events occurs, our reputation could be harmed, we could be exposed to product liability claims and we could lose customers and experience reduced sales and increased costs. We are also subject to similar state requirements and licenses.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have in the past, and may in the future cause or contribute to adverse medical events or be subject to failures or malfunctions which we may be required to report to the FDA, and if we fail to do so, we would be subject to sanctions that could materially and adversely affect our reputation, business, financial condition and results of operations. In addition, the discovery of serious safety issues with our products, or a recall of our products either voluntarily or at the direction of the FDA, could have a material adverse effect on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and there may continue to be side effects and adverse events associated with the use of our medical devices or any future devices we develop.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The FDA may also disagree with our determinations that an event was not reportable.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in the future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Companies are required to maintain certain records of recalls and corrections, even if they are not reportable to the FDA. We may in the future initiate voluntary withdrawals or corrections for our products that we determine do not require notification of the FDA. If the FDA disagrees with our determinations, it could require us to report those actions as recalls and we may be subject to enforcement action. A future recall announcement could materially and adversely affect our reputation with customers, potentially lead to product liability claims against us, and materially and adversely affect our sales. Any corrective action, whether voluntary or involuntary, as well as defending ourselves in a lawsuit, will require the dedication of our time and capital, distract management from operating our business, and may materially and adversely affect our reputation, business, financial condition and results of operations and could expose us to material claims and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Healthcare reform initiatives and other administrative and legislative proposals in the United States may materially and adversely affect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and continue to be proposals by the federal government, state governments, regulators, and third-party payors to control or manage the increased costs of healthcare and, more generally, to reform the United States healthcare system. Outside of the United States, foreign governments and regulatory authorities may implement new requirements that could impact our business and market acceptance.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the United States, in March 2010, the Patient Protection and Affordable Care Act, as amended by the Health Care and Education Reconciliation Act of 2010, together, the Affordable Care Act (the ACA) was enacted. The ACA made a number of substantial changes to the way healthcare is financed by both governmental and private insurers, including the imposition of health insurance mandates on employers and individuals, the provision of subsidies to eligible individuals enrolled in plans offered on the health insurance exchanges and the expansion of the Medicaid program.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More recently, the One Big Beautiful Bill Act (the OBBBA) was signed into law on July 4, 2025, and contains provisions that, among other changes, are expected to reduce the number of individuals enrolled in state Medicaid programs and ACA marketplace plans, which could adversely affect commercialization of Vivistim Therapy. We cannot predict how other litigation or legislative efforts, or the healthcare reform measures of the Trump administration will impact our business. The Trump administration is currently pursuing policies to reduce regulations and expenditures across government including at the U.S. Department of Health and Human Services, the FDA, the CMS, and related agencies. It is possible that certain of these changes could impose additional limitations on the rates we will be able to charge for our current and future products or the amounts of reimbursement available for our customers for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procedures in which our products are utilized from governmental agencies or third-party payors. We cannot assure you that the ACA or the OBBBA,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On August 2, 2011, the Budget Control Act of 2011 was signed into law, which, among other things, includes reductions to Medicare payments to providers, which went into effect on April 1, 2013, which, due to subsequent legislative amendments, will stay in effect through 2032, unless additional congressional action is taken.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American Taxpayer Relief Act of 2012, among other things, reduced Medicare payments to several providers, and increased the statute of limitations period for the government to recover overpayments to providers from three to five years. The Medicare Access and CHIP Reauthorization Act of 2015 (the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may have on our business, financial condition, results of operations, or cash flows. These new laws may result in additional reductions in Medicare and other healthcare funding, which could have a material adverse effect on customers for our products, if approved, and accordingly, our financial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set a price that we believe is fair for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generate revenue and achieve or maintain profitability;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of capital.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or administrative measures to control product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U.S. federal and state fraud and abuse and other healthcare laws and regulations, we could face substantial penalties and our business operations and financial condition could be materially and adversely affected. In addition, any challenge to or investigation into our practices under these laws could cause adverse publicity and be costly to respond to, and thus could materially and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U.S. healthcare industry is heavily regulated and closely scrutinized by foreign, federal, state and local authorities. We are subject to various state and federal fraud and abuse, anti-kickback, false claims, transparency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requirements, consumer protection and other healthcare laws and regulations. These laws constrain the business and financial arrangements and relationships through which we research, sell, market, and distribute our products, such as our arrangements with hospitals, physicians, therapists, customers and third-party payors. Healthcare fraud and abuse laws and related regulations are complex, and even minor irregularities can potentially give rise to claims that a statute or prohibition has been violated. The laws that may affect our ability to operate include, but are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Anti-Kickback Statute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includes the transfer of anything of value, in cash or in kind and directly or indirectly. A person or entity does not need to have actual knowledge of the statute or specific intent to violate it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False Claims Act (FCA), which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 Private individuals can bring False Claims Act “qui tam” actions, on behalf of the government and such individuals, commonly known as “whistleblowers,” may share in amounts paid by the entity to the government in fines or settlement.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criminal healthcare fraud provisions of HIPAA and related rules, which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transparency requirements under the Physician Payments Sunshine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certain non-physician providers (physician assistants, nurse practitioners, clinical nurse specialists, certified registered nurse anesthetists, anesthesiology assistants and certified nurse midwives), and teaching hospitals and physician ownership and investment interests, including such ownership and investment interests held by a physician’s immediate family members;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federal and state consumer protection and unfair competition laws, which broadly regulate marketplace activities and activities that potentially harm consumers;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and state anti-inducement laws, which prohibit the offer or transfer of remuneration that would influence the patient to order or receive a healthcare item or service;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or patients, state laws that require device companies to comply with the industry’s voluntary compliance guidelines and the relevant compliance guidance promulgated by the federal government, and state and local laws that require medical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device manufacturers to report information related to payments and other transfers of value to physicians and other healthcare providers or marketing expenditures and require the registration of their TMs or other sales personnel.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Due to the breadth of these laws and the narrowness of statutory exceptions and regulatory safe harbors available, it is possible that some of our current or future practices, such as our commercial activities, interactions with physicians and patients, and reimbursement support activities might be challenged, by regulatory authorities, our competitors or others, under one or more of these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enforce compliance with the healthcare regulatory laws, certain enforcement bodies have recently increased their scrutiny of interactions between medical device and pharmaceutical manufacturers and healthcare providers, which has led to a number of investigations, prosecutions, convictions and settlements in the healthcare industry. Responding to investigations and qui tam actions can be time-and resource-consuming and can divert management’s attention from the business. Additionally, as a result of these investigations, manufacturers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Achieving and sustaining compliance with applicable federal and state anti-fraud and abuse laws may prove costly.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reputational harm and disgorgement and we could be required to curtail, restructure or cease our operations. Any of the foregoing consequences will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ISO standards. Specifically, this final rule, which the FDA expects to go into effect on February 2, 2026, replaces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effective, could impose additional or different regulatory requirements on us that could increase the costs of compliance or otherwise create market pressure that may materially and adversely affect our business. It is unclear to what extent any other legislative or regulatory proposal, if adopted, could impose additional or different regulatory requirements on us that could increase the costs of compliance or otherwise create competition that may materially and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numerous laws and regulations related to anti-bribery and anti-corruption laws, such as the FCPA, anti-money laundering laws, and economic and trade sanctions, in which violations of these laws could result in substantial penalties and prosecution.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similarly subject to various heavily enforced anti-bribery and anti-corruption laws, such as the FCPA, anti-money laundering laws, and similar laws around the world. The FCPA or other anti-corruption and anti-bribery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Certain suppliers of components of our devices are located in countries known to experience corruption. Business activities in these countries create the risk of unauthorized payments or offers of payments by one of our employees, consultants,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contractors and agents and to identify and address potentially impermissible transactions under such laws and regulations, we cannot assure you that none of our employees, consultants, contractors and agents will take actions in violation of our policies, for which we may be ultimately responsible.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subject to certain economic and trade sanctions programs, including those administered by the U.S. Department of the Treasury’s Office of Foreign Assets Control, which prohibit or restrict transactions or dealings with or involving specified countries, their governments, and in certain circumstances, their nationals, or with individuals and entities that are specially-designated nationals, narcotics traffickers, terrorists or terrorist organizations, or otherwise blocked or sanctioned pursuant to applicable regulations. In addition, we are subject to export controls and similar trade restrictions, which restrict or prohibit the export, re-export, and transfer of certain goods, software, technology, and services to specified countries, governments, entities, and individuals. For example, in December 2021, the U.S. Congress enacted the Uyghur Forced Labor Prevention Act in an effort to prevent what it views as forced labor and human rights abuses in the Xinjiang Uyghur Autonomous Region, or XUAR, of China. If it is determined that our third-party suppliers and manufacturers produce or manufacture our components or products wholly or in part from the XUAR, or certain designated entities, then we could be prohibited from importing such components or products into the United States. Similarly, the U.S. government has increasingly issued new restrictions limiting access to federal contracts or funds for companies that source certain types of equipment or services from designated companies in China or other so-called countries of concern.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Responding to any enforcement action or related investigation may result in a materially significant diversion of management’s attention and resources and significant defense costs and other professional fees. Any violation of the FCPA or other applicable anti-bribery or anti-corruption laws, anti-money laundering laws, or sanctions could result in whistleblower complaints, adverse media coverage, investigations, loss of export privileges, severe criminal or civil sanctions and suspension or debarment from U.S. government contracts, which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Defects or failures associated with our products could lead to recalls, safety alerts or litigation, as well as supply chain disruption, significant costs, and negative publicity.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in the future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provide a limited warranty that our products are free of material defects in workmanship and materials and conform to specifications, and offer to repair or replace defective products. Although we have had very few warranty claims to date, we bear the risk of potential warranty claims on our products. If we receive a significant number of warranty claims or our products require significant amounts of service after sale, our operating expenses may substantially increase and our business and financial results will be adversely affected.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In the event that we attempt to recover some or all of the expenses associated with a warranty claim against us from our suppliers or vendors, we may not be successful in claiming recovery under any warranty or indemnity provided to us by such suppliers or vendors or that any recovery from such vendor or supplier would be adequate.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medical device industry has historically been subject to extensive litigation over product liability claims.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hospitals, ASCs, physicians, or others purchasing or using our products, even if our products were not the actual cause of such injury or death. We may choose to settle any claims to avoid fault and complication not due to failure of our products. An adverse outcome involving one of our products could result in reduced market acceptance and demand for all of our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file adverse event reports under Medical Device Reporting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commercial partners, distributors, and vendors may engage in misconduct or other improper activities, including noncompliance with regulatory standards and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commercial team, consultants, commercial partners, distributors, and vendors may engage in fraudulent or illegal activity. Misconduct by these parties could include intentional, reckless or negligent conduct, or disclosure of unauthorized activities to us that violates: (i) FDA laws and laws of other similar foreign regulatory bodies, including those laws requiring the reporting of true, complete and accurate information to such regulators; (ii) manufacturing standards; (iii) healthcare fraud and abuse laws, including anti-kickback law and patient inducement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imposition of a corporate integrity agreement, additional integrity reporting, compliance and oversight obligations, possible exclusion from participation in Medicare, Medicaid and other federal healthcare programs, contractual damages, reputational harm, diminished profits and future earnings and curtailment of operations, any of which could materially and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and supply chain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materially and adversely our business, financial condition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state, local, and foreign laws regarding environmental protection, hazardous substances and human health and safety may adversely affect our business.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materially and adversely affect our business, financial condition and results of operation.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or may in the future become subject to, ever-evolving federal, state, and foreign laws and regulations imposing obligations on how we collect, store, use and process information collected from or about individuals or their procedures using our products. Our or our vendors’ actual or perceived failure to comply with such obligations could materially and adversely our business. Ensuring compliance with such legal requirements could also impair our efforts to maintain and expand our customer base, and thereby decrease our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conduct of our business, we may at times process personal information, including health-related personal information including from and about patients, as well as our employees and business contacts.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In addition to specific healthcare laws and regulations, the U.S. federal government and various states have adopted or proposed laws, regulations, guidelines, and rules with respect to the collection, distribution, use, and storage of personal information of patients. We also depend on a number of third party vendors in relation to the operation of our business, a number of which process personal information on our behalf.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our operations and business grow, we may become subject to or affected by new or additional data protection laws and regulations and face increased scrutiny or attention from regulatory authorities. In the United States, HIPAA imposes data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requires covered entities and business associates to, among other things, develop and maintain policies with respect to the protection of, use and disclosure of protected health information (PHI). To the extent we create, receive, maintain or transmit PHI on behalf of covered entity customers or other third parties as a business associate under HIPAA, we are required to comply with applicable provisions of the HIPAA privacy, security and breach notification rules. HIPAA imposes, among other things, certain standards relating to the privacy, security, and breach reporting of individually identifiable health information. To the extent we are found to be out of compliance with HIPAA, we could face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violation of consumers’ privacy rights or failure to take appropriate steps to keep consumers’ personal information secure may constitute unfair and/or deceptive acts or practices in or affecting commerce in violation of Section 5(a) of the Federal Trade Commission Act, including entities subject to HIPAA.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particularly strong safeguards.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enactment of the CCPA is prompting a wave of similar legislative developments in other states in the United States, which creates a patchwork of overlapping but different state laws. For example, since the CCPA went into effect, comprehensive privacy statutes that share similarities with the CCPA are now in effect and enforceable in numerous states, and will soon be enforceable in several other states as well. Similar laws have been proposed in many other states and at the federal level as well. Certain states have also enacted new laws regulating specific types of personal information, such as health data, including the Washington My Health My Data Act and Nevada’s Senate Bill 370. In the event we are subject to such laws, they impose, among other things, onerous notice and consent obligations, and prohibit certain personal information processing. To the extent we are found to be out of compliance with such laws, we could face negative publicity, government investigations and enforcement actions, claims by third parties (including class action lawsuits and private litigation) and damage to our reputation, any of which could have a material adverse effect on our business, financial condition and results of operations. As a result, our processing of health data in such states may subject us to additional compliance obligations and expose us to increased risk of liability.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laws, regulations, and standards covering marketing, advertising, and other activities conducted by telephone, email, mobile devices, and the internet may be or become applicable to our business. If we fail to comply with these laws, regulations, and standards, we could face liability, reputational harm, and experience other impacts that could have a material adverse effect on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laws in all 50 U.S. states require businesses to provide notice to consumers whose personal information has been disclosed as a result of a data breach. These laws are not consistent, and compliance in the event of a widespread data breach may be difficult and costly. We also may be contractually required to notify consumers or other counterparties of a security breach. Regardless of our contractual protections, any actual or perceived security breach or breach of our contractual obligations could harm our reputation and brand, expose us to potential liability or require us to expend significant resources on data security and in responding to any such actual or perceived breach.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there will continue to be new laws, regulations, and industry standards concerning privacy, data protection, and information security proposed and enacted in various jurisdictions in which we do business. These laws are in some cases relatively new and the interpretation and application of these laws are uncertain, may be inconsistent with or restrict our collection, storage, transfer, use and disclosure of personal information, and may require changes to our data processing practices and policies, including the acceptance of more onerous obligations in our contracts or additional costs, and we may be unable to make such changes and modifications in a commercially reasonable manner, or at 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risk is enhanced in certain jurisdictions and, as we expand our operations domestically and internationally, we may be subject to additional laws in other jurisdictions. 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by U.S. federal and state regulatory authorities, fines and penalties, claims, proceedings or actions against us by individuals, consumer rights groups, government agencies, or others and we could incur significant costs in investigating and defending such claims, orders to make changes to our business, and/or adverse publicity, including by consumer advocacy groups and other private parties, and could cause our customers, their patients, and other healthcare professionals to lose trust in us, which could materially and adversely affect our reputation and have a material adverse effect on our business, financial condition and results of operations.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staffing limitations, government shutdowns or global health concerns could hinder their ability to hire, retain or deploy key leadership and other personnel, prevent new or modified products from being developed, reviewed, approved or commercialized in a timely manner or at all, which could materially and adversely affect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be approved or cleared by necessary government agencies, which would materially and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 and to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price of our stock may be volatile, and you could lose all or part of your investment.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following this offering is likely to be highly volatile and subject to wide fluctuations in response to various factors, some of which we cannot control.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prospectus, these factors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results of preclinical trials and clinical trials of our current and future products or those of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success of competitive products or announcements by potential competitors of their product development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actions with respect to our products or our competitors’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anticipated changes in our growth rate relative to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collaborations, or capital commitments;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anticipated changes in estimates as to financial results, development timelines or recommendations by securities analysts;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market conditions in the medical device sector;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share price and volume fluctuations attributable to inconsistent trading volume levels of our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 or expectation of additional financing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sales of our common stock by us, our insiders, or our other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concentration in ownership of our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expiration of lock-up agreements;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lawsuits threatened or filed against us, including litigation by current or former employees, alleging wrongful termination, sexual harassment, whistleblower, or other claims;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industry and market conditions.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realization of any of the above risks or any of a broad range of other risks, including those described in this “Risk Factors” section, could have a dramatic and adverse impact on the market price of our common stock, which could also cause you to lose all or part of your investment.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materially and adversely affect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or if they publish adverse or misleading research or reports, regarding us, our business or our market, our stock price, and trading volume could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know whether an active, liquid, and orderly trading market will develop for our common stock or what the market price of our common stock will be and as a result it may be difficult for you to sell your shares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this offering, no market for shares of our common stock existed and an active trading market for our shares may never develop or be sustained following this offering. We will determine the initial public offering price for our common stock through negotiations with certain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Sales of a substantial number of shares of our common stock in the public market could cause our stock price to fall.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33,085,391 outstanding shares of common stock based on the number of shares outstanding as of December 31, 2025, assuming (i) no exercise of the underwriters’ option to purchase additional shares, (ii) no exercise of outstanding options, (iii) the occurrence of the Preferred Stock Conversion, (iv) the Warrant Exercises and (v) the Note Conversion immediately prior to the completion of this offering. This includes the shares that we sell in this offering, which may be resold in the public market immediately without restriction, unless purchased by our affiliates.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executive officers, directors and the holders of an aggregate of over 98% of shares of our common stock have entered into lock-up agreements with the underwriters under which they have agreed, subject to specific exceptions described in the section titled “Underwriting,” not to sell, directly or indirectly, any shares of common stock without the permission of BofA Securities, Inc., J.P. Morgan Securities LLC and Goldman Sachs &amp; Co. LLC for a period of 180 days following the date of this prospectus. We refer to such period as the lock-up period. When the lock-up period expires, we and our securityholders subject to a lock-up agreement will be able to sell our shares in the public market. In addition, BofA Securities, Inc., J.P. Morgan Securities LLC and Goldman Sachs &amp; Co. LLC may, in their sole discretion, release all or some portion of the shares subject to lock-up agreements at any time and for any reason. See the description of the lock-up agreement with the underwriters in the section titled “Underwriting” for more information. Sales of a substantial number of such shares upon expiration of the lock-up agreement,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after this offering, holders of an aggregate of 21,904,521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principal stockholders and management own a significant percentage of our stock and will be able to exert significant control over matters subject to stockholder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this offering, our executive officers, directors, holders of 5% or more of our capital stock, and their respective affiliates beneficially owned approximately 81.2% of our voting stock and, upon the completion of this offering, that same group will beneficially own approximately 57.3% of our outstanding voting stock (based on the number of shares of common stock outstanding as of December 31, 2025 assuming no exercise of the underwriters’ option to purchase additional shares, no exercise of outstanding options, and no purchases of shares in this offering by any of this group), in each case assuming the occurrence of the Preferred Stock Conversion immediately prior to the completion of this offering.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existing stockholders, including entities that are affiliated with certain of our directors and beneficially own more than 5% of our outstanding common stock, may purchase shares of our common stock in this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offering at the initial public offering price. The previously discussed ownership percentage upon completion of this offering does not reflect the potential purchase of any shares in this offering by such stockholders.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an “emerging growth company,” and a “smaller reporting company,” and we cannot be certain if the reduced reporting requirements applicable to emerging growth companies will make our common stock less attractive to investors.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not being required to comply with the auditor attestation requirements of Section 404 of the Sarbanes-Oxley Act;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reduced disclosure obligations regarding executive compensation in this prospectus and our periodic reports and proxy statements;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exemptions from the requirements of holding nonbinding advisory stockholder votes on executive compensation and stockholder approval of any golden parachute payments not previously approved.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 over financial reporting. If we are unable to design and maintain effective internal control over financial reporting, our investors may lose confidence in the accuracy and completeness of our financial reports, which could adversely affect our stock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did not design and maintain effective controls over the review of inputs in the calculation of net loss per share attributable to common stockholders. The material weakness resulted in a revision to the weighted average number of shares and net loss per share attributable to common stock holders within the statement of operations and related disclosures as of and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taking steps to remediate the material weakness and to strengthen our internal control over financial reporting, including reviewing and prioritizing this control deficiency for remediation. The material weakness will not be considered remediated until management completes the design and implementation of the controls and the controls operate for a sufficient period of time and management has concluded, through testing, that these controls are effective.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will not be required to evaluate the effectiveness of our internal control over financial reporting until our second annual report on Form 10-K after the effectiveness of the registration statement of which this prospectus forms a part.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incur increased costs as a result of operating as a public company, and our management will be required to devote substantial time to new compliance initiatives and corporate governance practices. Additionally, if we fail to maintain effective internal control over financial reporting, our ability to produce accurate financial statements on a timely basis could be impaired.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preparation of our financial statements, we identified a material weakness in our internal control over financial reporting. Specifically, we did not design and maintain effective controls over the review of the inputs in the calculation of net loss per share attributable to common stockholders. The material weakness resulted in a revision to the weighted average number of shares and net loss per share attributable to common stockholders within the statement of operations and related disclosures as of and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 We are in the process of implementing remediation measures, including the establishment of a control over the review of the calculation of weighted-average shares outstanding and net loss per share. The material weakness will not be considered remediated until management completes the design and implementation of the controls and the controls operate for a sufficient period of time and management has concluded, through testing, that these controls are effective.</w:t>
      </w:r>
    </w:p>
    <w:p>
      <w:pPr>
        <w:pStyle w:val="TextBody"/>
        <w:bidi w:val="0"/>
        <w:spacing w:before="0" w:after="180"/>
        <w:jc w:val="left"/>
        <w:rPr/>
      </w:pPr>
      <w:r>
        <w:rPr/>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additional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able to remediate this material weakness and comply with the requirements of Section 404 of the Sarbanes-Oxley Act in a timely manner, or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have broad discretion in the use of the net proceeds from this offering and may not use them effectively.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common stock. We currently anticipate that we will retain future earnings for the development, operation, and expansion of our business and do not anticipate declaring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paying any cash dividends for the foreseeable future. Any return to stockholders will therefore be limited to any appreciation in the value of their stock.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Loan and Security Agreement and may be limited by the terms of any future debt or preferred securities we issue or any future credit facilities we enter into. Accordingly, you will have to, for the foreseeable future, rely on sales of your common stock after price appreciation, which may never occur, as the only way to realize any future gains on your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as we expect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permit only the board of directors to establish the number of directors and fill vacancies on the board;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that directors may only be removed “for cause” and only with the approval of a majority of the voting power of the issued and outstanding capital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(also known as a “poison pill”);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prohibit cumulative voting;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our board of directors to amend the bylaws;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require a super-majority vote of stockholders to amend some provisions described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action asserting a claim of breach of fiduciary duty;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action asserting a claim against us arising under the DGCL, our amended- and restated certificate of incorporation or our amended and restated bylaws;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action asserting a claim against us that is governed by the internal-affairs doctrine.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provision would not apply to suits brought to enforce a duty or liability created by the Exchange Act or any other claim for which the U.S. federal courts have exclusive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Such amended and restated bylaws further provide that the federal district courts of the United States of America will be the exclusive forum for resolving any complaint asserting a cause of action arising under the Securities Act, against any person in connection with any offering of the Company’s securities, including, without limitation and for the avoidance of doubt, any auditor, underwriter, expert, control person, or other defendant.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exclusive-forum provisions may increase costs for a stockholder to bring a claim and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materially and adversely affect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board of directors will be authorized to issue and designate shares of our preferred stock in additional series without stockholder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Investors in this offering will experience immediate and substantial 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initial public offering price of our common stock is expected to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$15.00 per share, you will experience immediate dilution of $8.86 per share, representing the difference between our pro forma as adjusted net tangible book value per share after giving effect to this offering and the initial public offering price. In addition, purchasers of common stock in this offering will have contributed 40% of the aggregate price paid by all purchasers of our common stock but will own only approximately 30% of our total equity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forward-looking statements. All statements other than statements of historical facts contained in this prospectus, including statements regarding our future liquidity, business strategy, clinical trials and clinical strategy, prior authorization and reimbursement strategy, real-world patient registries,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expected growth of our business and our organization;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continue as a going concern;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retain and recruit key personnel, including the continued development of a sales and marketing infrastructure;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and size of the potential patient populations for Vivistim Therapy and any future products, if approved for commercial 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expected use of our products by physicians and patients;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to conduct further clinical trials and patient registries;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and expected timeline related to our products, or developing new products, to address additional indications or otherwise;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maintain and expand regulatory clearances for our products and any new products we create;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expected uses of the net proceeds from this offering and our existing cash and cash equivalents;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government and third-party payer coverage and reimbursement;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purchase sufficient quantities from manufacturers of our products with sufficient quality and at an acceptable price;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an adequate supply of materials and components for our products from our third-party suppliers;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maintain and enforce intellectual property protection for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expand our business into new geographic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outcome of any litigations to which we may become a party;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compliance with extensive exchange requirements and government laws, rules, and regulations both in the United States and internationally;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estimates of our expenses, ongoing losses, future revenue, and capital requirements, as well as our need for, or ability to obtain, additional financing, and our future financial performance;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the time during which we will be an emerging growth company under the JOBS Act;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identify and develop new and planned products or acquire new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developments and projections relating to our competitors or our industry;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existing capital resources to fund our future operating expenses and capital expenditure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does not contain all of the forward-looking statements made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risks and uncertainties that we currently deem immaterial may also impair our business operations and the market price for our common stock,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the sale of the shares of our common stock in this offering will be approximately $134.5 million, or approximately $155.4 million if the underwriters exercise their option to purchase additional shares in full, based upon the initial public offering price of $15.00 per share, and after deducting estimated underwriting discounts and commissions and estimated offering expenses payable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purposes of this offering are to obtain additional capital to support our operations, establish a public market for our common stock and facilitate our future access to the public capital markets. We currently intend to use the net proceeds from this offering as follows: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approximately $93.5 million to expand our direct sales force and commercial organization;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approximately $18.5 million to continue our research and development activities and our clinical studies and trials;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remainder for working capital and other general corporate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use a portion of the net proceeds we receive from this offering to acquire businesses, products, services, or technologies. We periodically evaluate strategic opportunities; however, we do not have agreements or commitments for any material acquisitions or investments at this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use of the net proceeds from this offering represents our intentions based on our current plans and business conditions, which could change in the future as our plans and business conditions evolve. We cannot predict with certainty all of the particular uses for the proceeds of this offering or the amounts that we will actually spend on the uses set forth above. Accordingly, our management will have broad discretion in applying the net proceeds from this offering. The timing and amount of our actual expenditures will be based on many factors, including cash flows from operations and the anticipated growth of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their use, we intend to invest the net proceeds from this offering in a variety of capital-preservation investments, including government securities and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DIVIDEND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We currently intend to retain future earnings, if any, to finance the operation and expansion of our business and do not anticipate paying any cash dividends in the foreseeable future. Any future determinations regarding the payment of dividends or distributions, if any, will be at the discretion of our board of directors, subject to applicable law, and will depend upon then-existing conditions, including our financial condition, results of operations, contractual restrictions, general business conditions, capital requirements, and other factors our board of directors may deem relevant. In addition, the terms of the Loan and Security Agreement restrict our ability to make certain restricted payments, including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CAPITALIZATION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cash, cash equivalents, and capitalization as of December 31, 2025, 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actual basis;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pro forma basis to reflect: (i) the Preferred Stock Conversion, (ii) the issuance of the 2026 Convertible Notes and the related Notes Conversion (iii) the Warrant Exercises, (iv) the Warrant Conversion, and (v) the filing and effectiveness of our amended and restated certificate of incorporation;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pro forma as adjusted basis to further reflect our issuance and sale of 10,000,000 shares of common stock in this offering at the initial public offering price of $15.00 per share, after deducting the estimated underwriting discounts and commissions and estimated offering expenses payable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information in conjunction with our financial statements and the related notes included elsewhere in this prospectus, as well as the sections of this prospectus titled “Summary Financial Data” and “Management’s Discussion and Analysis of Financial Condition and Results of Operations.” </w:t>
      </w:r>
    </w:p>
    <w:tbl>
      <w:tblPr>
        <w:tblW w:w="10205" w:type="dxa"/>
        <w:jc w:val="left"/>
        <w:tblInd w:w="0" w:type="dxa"/>
        <w:tblLayout w:type="fixed"/>
        <w:tblCellMar>
          <w:top w:w="28" w:type="dxa"/>
          <w:left w:w="28" w:type="dxa"/>
          <w:bottom w:w="28" w:type="dxa"/>
          <w:right w:w="28" w:type="dxa"/>
        </w:tblCellMar>
      </w:tblPr>
      <w:tblGrid>
        <w:gridCol w:w="2031"/>
        <w:gridCol w:w="1786"/>
        <w:gridCol w:w="1788"/>
        <w:gridCol w:w="109"/>
        <w:gridCol w:w="109"/>
        <w:gridCol w:w="109"/>
        <w:gridCol w:w="211"/>
        <w:gridCol w:w="848"/>
        <w:gridCol w:w="109"/>
        <w:gridCol w:w="109"/>
        <w:gridCol w:w="109"/>
        <w:gridCol w:w="109"/>
        <w:gridCol w:w="211"/>
        <w:gridCol w:w="848"/>
        <w:gridCol w:w="109"/>
        <w:gridCol w:w="109"/>
        <w:gridCol w:w="109"/>
        <w:gridCol w:w="109"/>
        <w:gridCol w:w="222"/>
        <w:gridCol w:w="895"/>
        <w:gridCol w:w="166"/>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5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as adjusted</w:t>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Notes payable, net of discount and deferred financing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$0.01 par value per share; 67,174,403 shares authorized, 65,591,701 shares issued and outstanding, actual; no shares authorized, issued or outstanding pro forma and pro forma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Stockholders’ (deficit)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no shares authorized, issued and outstanding, actual; 50,000,000 shares authorized, no shares issued and outstanding, pro forma and pro forma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per share; 86,600,000 shares authorized, 884,030 shares issued and outstanding, actual; 950,000,000 shares authorized, 23,085,391 shares issued and outstanding, pro forma; 950,000,000 shares authorized, 33,085,391 shares issued and outstanding, pro forma as adjusted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Total stockholders’ deficit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(1)Actual notes payable, net of discount and deferred financing costs as of December 31, 2025 excludes the 2026 Convertible Notes issued from January 30, 2026 through February 11, 2026, which will automatically convert into shares of our common stock upon completion of this offering. See “Management’s Discussion and Analysis of Financial Condition and Results of Operations—Liquidity and Capital Resources—2026 Convertible Notes.”</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 may not sum due to normal rounding practices.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our common stock to be outstanding immediately after this offering is based on 23,085,391 shares of our common stock outstanding as of December 31, 2025, which reflects (i) the Preferred Stock Conversion, (ii) the issuance of the 2026 Convertible Notes and the related Notes Conversion and (iii) the Warrant Exercises, and excludes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29,622 shares of our common stock issuable upon the Warrant Conversion;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4,046,266 shares of common stock issuable upon exercise of options to purchase shares of our common stock outstanding as of December 31, 2025, at a weighted-average exercise price of $3.51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524,180 shares of common stock issuable upon exercise of options to purchase shares of our common stock granted after December 31, 2025, at a weighted-average exercise price of $7.91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523,613 shares of common stock reserved for future issuance under the 2022 Plan as of December 31, 2025, provided that we will cease granting awards under the 2022 Plan upon the effectiveness of the 2026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2,862,590 shares of common stock issuable upon the exercise or vesting, as applicable, of the IPO Grants;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our common stock reserved for future issuance under the 2026 Plan (which number includes the IPO Grants), which became effective on the business day immediately prior to the date of effectiveness of the registration statement of which this prospectus forms a part, equal to the sum of (1) a number of shares equal to 14%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 under the 2026 Plan and the ESPP, plus (2) any shares of common stock remaining available for future issuance under our 2022 Plan as of the effectiveness of the 2026 Plan, which shares will be added to the share reserve under the 2026 Plan upon its effectiveness;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common stock reserved for issuance under our ESPP, which became effective on the business day immediately prior to the date of effectiveness of the registration statement of which this prospectus forms a part, equal to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2026 Plan and the ESPP).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2026 Plan and the ESPP provides for annual automatic increases in the number of shares reserved thereunder, and the 2026 Plan also provides for increases to the number of shares that may be granted thereunder based on awards under the 2022 Plan that expire, are forfeited, or otherwise repurchased by us, as more fully described in the section titled “Executive and Director Compensation—Equity Incentive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DILUTION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historical net tangible book value (deficit) as of December 31, 2025 was approximately $(152.8) million, or $(172.8) per share of our common stock. Our historical net tangible book value (deficit) is the amount of our total tangible assets less our total liabilities and redeemable convertible preferred stock, which is not included within our stockholders’ (deficit) equity. Historical net tangible book value per share represents historical net tangible book value (deficit), divided by the number of shares of our common stock outstanding as of December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 forma net tangible book value (deficit) as of December 31, 2025 was approximately $67.8 million, or $2.94 per share of our common stock. Pro forma net tangible book value represents the amount of our total tangible assets less our total liabilities, after giving effect to (i) the Preferred Stock Conversion, (ii) the issuance of the 2026 Convertible Notes and the related Notes Conversion, (iii) the Warrant Exercises, and (iv) the Warrant Conversion. Pro forma net tangible book value per share represents pro forma net tangible book value, divided by the total number of shares outstanding as of December 31, 2025, after giving effect to (i) the Preferred Stock Conversion, (ii) the issuance of the 2026 Convertible Notes and the related Notes Conversion, and (iii) the Warrant Exercises.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giving further effect to our sale of 10,000,000 shares of common stock in this offering at the initial public offering price of $15.00 per share, and after deducting estimated underwriting discounts and commissions and estimated offering expenses payable by us, our pro forma as adjusted net tangible book value as of December 31, 2025 would have been approximately $203.2 million, or $6.14 per share. This represents an immediate increase in pro forma as adjusted net tangible book value per share of $3.20 to our existing stockholders and an immediate dilution in pro forma as adjusted net tangible book value per share of $8.86 to new investors purchasing common stock in this offering. Dilution per share to new investors purchasing common stock in this offering is determined by subtracting pro forma as adjusted net tangible book value per share after this offering from the assumed initial public offering price per share paid by new investors.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this dilution on a per share basis: </w:t>
      </w:r>
    </w:p>
    <w:tbl>
      <w:tblPr>
        <w:tblW w:w="10205" w:type="dxa"/>
        <w:jc w:val="left"/>
        <w:tblInd w:w="0" w:type="dxa"/>
        <w:tblLayout w:type="fixed"/>
        <w:tblCellMar>
          <w:top w:w="28" w:type="dxa"/>
          <w:left w:w="28" w:type="dxa"/>
          <w:bottom w:w="28" w:type="dxa"/>
          <w:right w:w="28" w:type="dxa"/>
        </w:tblCellMar>
      </w:tblPr>
      <w:tblGrid>
        <w:gridCol w:w="2755"/>
        <w:gridCol w:w="2353"/>
        <w:gridCol w:w="2363"/>
        <w:gridCol w:w="109"/>
        <w:gridCol w:w="109"/>
        <w:gridCol w:w="109"/>
        <w:gridCol w:w="211"/>
        <w:gridCol w:w="776"/>
        <w:gridCol w:w="109"/>
        <w:gridCol w:w="109"/>
        <w:gridCol w:w="109"/>
        <w:gridCol w:w="109"/>
        <w:gridCol w:w="211"/>
        <w:gridCol w:w="616"/>
        <w:gridCol w:w="157"/>
      </w:tblGrid>
      <w:tr>
        <w:trPr/>
        <w:tc>
          <w:tcPr>
            <w:tcW w:w="2755"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public 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(deficit) per share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pro forma net tangible book value per share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 forma net tangible book value per share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pro forma as adjusted net tangible book value per share attributable to new investors purchasing shares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as adjusted net tangible book value per share after this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purchasing shares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the underwriters exercise their option to purchase 1,500,000 additional shares of common stock in this offering in full at the initial public offering price of $15.00 per share, and after deducting estimated underwriting discounts and commissions and estimated offering expenses payable by us, the pro forma as adjusted net tangible book value per share after this offering would be $6.48 per share, and the dilution in pro forma as adjusted net tangible book value per share to new investors purchasing common stock in this offering would be $8.52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on a pro forma as adjusted basis, as of December 31, 2025, the number of shares of common stock purchased from us, the total consideration paid and the weighted-average price per share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paid, by existing stockholders and by new investors in this offering. The presentation in this table regarding ownership by existing stockholders does not give effect to any purchases in this offering by such investors.</w:t>
      </w:r>
    </w:p>
    <w:tbl>
      <w:tblPr>
        <w:tblW w:w="10205" w:type="dxa"/>
        <w:jc w:val="left"/>
        <w:tblInd w:w="0" w:type="dxa"/>
        <w:tblLayout w:type="fixed"/>
        <w:tblCellMar>
          <w:top w:w="28" w:type="dxa"/>
          <w:left w:w="28" w:type="dxa"/>
          <w:bottom w:w="28" w:type="dxa"/>
          <w:right w:w="28" w:type="dxa"/>
        </w:tblCellMar>
      </w:tblPr>
      <w:tblGrid>
        <w:gridCol w:w="1149"/>
        <w:gridCol w:w="1011"/>
        <w:gridCol w:w="1013"/>
        <w:gridCol w:w="344"/>
        <w:gridCol w:w="344"/>
        <w:gridCol w:w="348"/>
        <w:gridCol w:w="131"/>
        <w:gridCol w:w="131"/>
        <w:gridCol w:w="131"/>
        <w:gridCol w:w="232"/>
        <w:gridCol w:w="234"/>
        <w:gridCol w:w="455"/>
        <w:gridCol w:w="109"/>
        <w:gridCol w:w="109"/>
        <w:gridCol w:w="109"/>
        <w:gridCol w:w="211"/>
        <w:gridCol w:w="1186"/>
        <w:gridCol w:w="109"/>
        <w:gridCol w:w="109"/>
        <w:gridCol w:w="109"/>
        <w:gridCol w:w="109"/>
        <w:gridCol w:w="232"/>
        <w:gridCol w:w="234"/>
        <w:gridCol w:w="451"/>
        <w:gridCol w:w="109"/>
        <w:gridCol w:w="109"/>
        <w:gridCol w:w="109"/>
        <w:gridCol w:w="274"/>
        <w:gridCol w:w="801"/>
        <w:gridCol w:w="203"/>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Number  </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Percent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Percent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Existing stockholders before this offering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23,085,391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Investors participating in this offering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33,085,391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372,527,042 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above assumes no exercise of the underwriters’ option to purchase additional shares in this offering. If the underwriters’ option to purchase additional shares is exercised in full, the number of shares of our common stock held by existing stockholders would be reduced to approximately 3% of the total number of shares of our common stock outstanding immediately after this offering, and the number of shares of common stock held by new investors participating in the offering would be increased to approximately 3% of the total number of shares outstanding immediately after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our common stock to be outstanding immediately after this offering is based on 23,085,391 shares of our common stock outstanding as of December 31, 2025, which reflects (i) the Preferred Stock Conversion, (ii) the issuance of the 2026 Convertible Notes and the related Notes Conversion and (iii) the Warrant Exercises, and excludes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29,622 shares of our common stock issuable upon the Warrant Conversion;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4,046,266 shares of common stock issuable upon exercise of options to purchase shares of our common stock outstanding as of December 31, 2025, at a weighted-average exercise price of $3.51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524,180 shares of common stock issuable upon exercise of options to purchase shares of our common stock granted after December 31, 2025, at a weighted-average exercise price of $7.91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523,613 shares of common stock reserved for future issuance under the 2022 Plan as of December 31, 2025, provided that we will cease granting awards under the 2022 Plan upon the effectiveness of the 2026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2,862,590 shares of common stock issuable upon the exercise or vesting, as applicable, of the IPO Grants;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our common stock reserved for future issuance under the 2026 Plan (which number includes the IPO Grants), which will become effective on the business day immediately prior to the date of effectiveness of the registration statement of which this prospectus forms a part, equal to the sum of (1) a number of shares equal to 14%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 under the 2026 Plan and the ESPP, plus (2) any shares of common stock remaining available for future issuance under our 2022 Plan as of the effectiveness of the 2026 Plan, which shares will be added to the share reserve under the 2026 Plan upon its effectiveness;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number of shares of common stock reserved for issuance under our ESPP, which will become effective on the business day immediately prior to the date of effectiveness of the registration statement of which this prospectus forms a part, equal to a number of shares equal to 1% of the number of fully-diluted shares of our common stock upon the closing of this offering (calculated on an as-converted basis after giving effect to the number of shares of common stock to be sold in this offering and assuming the exercise in full of the underwriters’ over-allotment option and including shares subject to outstanding equity awards and the share reserves under the 2026 Plan and the ESPP).</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2026 Plan and the ESPP provides for annual automatic increases in the number of shares reserved thereunder, and the 2026 Plan also provides for increases to the number of shares that may be granted thereunder based on awards under the 2022 Plan that expire, are forfeited, or otherwise repurchased by us, as more fully described in the section titled “Executive and Director Compensation—Equity Incentive Plans.”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any outstanding options to purchase shares of our common stock are exercised or new options are issued under the equity benefit plans, or we issue additional shares of common stock or other securities convertible into or exercisable or exchangeable for shares of our capital stock in the future, there will be further dilution to investors participating in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together with our financial statements and related notes included elsewhere in this prospectus. Some of the information contained in this discussion and analysis are set forth elsewhere in this prospectus, including information with respect to our plans and strategy for our business and related financing, and includes forward-looking statements that involve risks and uncertainties. See the section titled “Special Note Regarding Forward-Looking Statements” appearing elsewhere in this prospectus. As a result of many factors, including those factors set forth in the section of this prospectus titled “Risk Factors,” our actual results could differ materially from the results described in or implied by the forward-looking statements contained in the following discussion and analysis.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commercial-stage medical device company redefining stroke recovery for survivors living with life-altering motor impairments. Our Vivistim Paired Vagus Nerve Stimulation (Paired VNS) System is the first and only clinically-validated, FDA-approved solution for chronic ischemic stroke survivors with moderate to severe upper extremity impairments. Stroke is one of the leading causes of long-term disability in the United States. While advancements in acute stroke care over the past decade have significantly reduced mortality, innovation for chronic stroke recovery has lagged, resulting in a growing number of stroke survivors living with meaningful impairments. Our breakthrough Vivistim Paired VNS System (Vivistim System) addresses this unmet need. The Vivistim System includes an implanted pulse generator and lead that deliver stimulation to the vagus nerve when activated. During treatment (Vivistim Therapy), intentional bursts of stimulation are delivered during functional movement to increase neuroplasticity and durably restore motor function. Clinical data has demonstrated that Vivistim Therapy delivers meaningful improvements in upper limb function, which can help stroke survivors regain critical capabilities and independence and restore quality of life, regardless of the time elapsed since the patient’s stroke. We believe we are setting a new standard of care in chronic stroke recovery, facilitating a new treatment pathway for chronic ischemic stroke survivors with moderate to severe upper extremity impairments. We have experienced rapid growth since our full commercial launch in 2023, and physicians have performed over 1,000 implants, including approximately 700 in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Chronic stroke recovery presents a significant market opportunity. According to the American Heart Association (AHA), approximately 87% of the strokes in the United States are ischemic. This equates to approximately 9 million ischemic stroke survivors in the United States, of which we estimate that more than 4 million are chronic ischemic stroke survivors living with moderate to severe upper extremity impairment. This population falls within the current on-label indication for the Vivistim System. We believe that an initial market opportunity comprises approximately 1 million of those survivors that demonstrate the requisite overall health, cognition and motivation to participate in therapy and have received some amount of post-stroke therapy, which we estimate represents an initial market opportunity of over $30 billion based on the average selling price of the Vivistim System. Vivistim Therapy is effective for recent stroke survivors as well as patients who initiate treatment many years post-stroke.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strategy is designed to encourage Vivistim Therapy adoption at stroke centers and therapy sites through a coordinated, evidence-based approach. We sell the Vivistim System to customers, primarily stroke hospitals, in the United States, and our commercial organization is responsible for driving adoption of the Vivistim System through customer outreach, education, and relationship management activities. Our team includes Territory Managers (TMs), who support initial customer onboarding efforts at stroke centers and maintain commercial relationships with physicians and administrators, and Therapy Development Specialists (TDSs), who focus on outreach to therapy sites and provide general educational information regarding the clinical use of the Vivistim System. These activities are intended to facilitate customer adoption and utilization of the Vivistim System. Our commercial efforts are currently focused on primary and comprehensive stroke centers, which are hospitals that have cross-functional teams with the capabilities to treat acute stroke at the highest level of care and in compliance with AHA guidelines. These centers see significant volumes of acute stroke patients and are typically surrounded by a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network of therapy sites with neurorehabilitation capabilities, providing the infrastructure necessary for efficient implementation of Vivistim Therapy. We work with these stroke centers to establish Vivistim Therapy as a treatment option for stroke survivors. Over time, we believe these centers will naturally integrate Vivistim Therapy into standard care pathways for stroke survivors upon discharge and establish self-sustaining care programs that use Vivistim Therapy. According to data from the stroke center accreditation organizations, there were approximately 1,500 primary and comprehensive stroke centers in the United States as of December 2025. In addition, according to stroke claims data, approximately 70% of acute strokes in the United States are seen at 900 hospitals.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manufacturers to manufacture the Vivistim System and accessories. We believe this strategy provides the expertise and capacity required to effectively and efficiently scale production based on demand, and helps to reduce our need for capital investment and reduce operational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date, our primary sources of capital have been private placements of preferred stock, debt financing arrangements and revenue from sales of our Vivistim System. For the year ended December 31, 2025, we generated revenue of $32.0 million, with a gross margin of 81.1%, and had a net loss of $46.5 million, compared to revenue of $15.6 million, with a gross margin of 79.6%, and a net loss of $24.6 million for the year ended December 31, 2024. As of December 31, 2025, we had cash and cash equivalents of $33.6 million and an accumulated deficit of approximately $157.8 million.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Key Factors and Trends Affecting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results of operations and future success depend on several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Market development and awareness of Vivistim Therapy.</w:t>
      </w:r>
      <w:r>
        <w:rPr>
          <w:color w:val="000000"/>
        </w:rPr>
        <w:t xml:space="preserve"> </w:t>
      </w:r>
      <w:r>
        <w:rPr>
          <w:rFonts w:ascii="Times New Roman;serif" w:hAnsi="Times New Roman;serif"/>
          <w:b w:val="false"/>
          <w:color w:val="000000"/>
          <w:sz w:val="20"/>
        </w:rPr>
        <w:t>Our mission is to redefine stroke recovery for survivors living with life-altering functional impairments by establishing Vivistim Therapy as the standard of care for chronic stroke recovery. As there are currently very limited options to support chronic stroke recovery, we are focused on developing this new market and driving awareness of Vivistim Therapy as a potential treatment option for stroke survivors. To accomplish this, we intend to continue to educate healthcare providers on the capabilities and benefits of Vivistim Therapy, work closely with hospitals to incorporate Vivistim Therapy as a treatment option, and activate care programs that use Vivistim Therapy at stroke centers and therapy sites. In addition, we intend to continue to expand our clinical evidence to support a robust cadence of publications regarding the benefits of Vivistim Therapy. We believe these efforts will support the growth of our business by generating broader awareness, which can support adoption and increase utilization of Vivistim Therapy. Candidates for Vivistim Therapy generally result from three primary sources: physician referrals, therapist referrals, and direct patient engagement. A diverse network of care providers, including stroke interventionalists, neurosurgeons, neurologists, physical medicine and rehabilitation physicians, occupational and physical therapists, stroke coordinators and nurses, support and interact with stroke survivors. We directly engage with each of these stakeholders through our field-based commercial team and specialized events, summits, and conferences. In addition, we engage in direct patient education activities, such as webinars, outreach through support groups, digital advertising and other targeted activities. We believe that establishing strong referral patterns between providers and engaging directly with stroke survivors and their caregivers will help to further market development, awareness and utilization. For example, we believe that as awareness and utilization increase, stroke centers will naturally integrate Vivistim Therapy into standard care pathways for stroke survivors upon discharge and establish self-sustaining care programs that use Vivistim Therapy over time. Our financial performance will be significantly impacted by the extent to which we can increase awareness and utilization, as well as the timing and rate of adoption of our products by healthcare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Growing our commercial organization.</w:t>
      </w:r>
      <w:r>
        <w:rPr>
          <w:color w:val="000000"/>
        </w:rPr>
        <w:t xml:space="preserve"> </w:t>
      </w:r>
      <w:r>
        <w:rPr>
          <w:rFonts w:ascii="Times New Roman;serif" w:hAnsi="Times New Roman;serif"/>
          <w:b w:val="false"/>
          <w:color w:val="000000"/>
          <w:sz w:val="20"/>
        </w:rPr>
        <w:t xml:space="preserve">To promote awareness and utilization, we expect to continue to efficiently grow our commercial organization. For example, our selling, general and administrative expenses were $65.8 million and $32.4 million for the years ended December 31, 2025 and 2024, respectively. We intend to continue to make significant investments in our commercial organization by scaling our team, which we believe will broaden our geographic reach, drive penetration, and increase access to our products. We seek to scale deliberately and efficiently using our scalable commercial model, which initially targets a highly concentrated group of high-volume primary and comprehensive stroke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centers. These stroke centers are typically surrounded by a network of therapy sites with neurorehabilitation capabilities, providing the infrastructure for efficient implementation of Vivistim Therapy. For the years ended December 31, 2025 and 2024, substantially all Vivistim System implants were performed at primary and comprehensive stroke centers. While we aim to expand strategically and efficiently, the rate at which we grow our commercial organization and the speed at which newly hired personnel become effective will impact our revenue growth and our costs incurred in anticipation of such growth.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Reimbursement and expanding payor coverage.</w:t>
      </w:r>
      <w:r>
        <w:rPr>
          <w:color w:val="000000"/>
        </w:rPr>
        <w:t xml:space="preserve"> </w:t>
      </w:r>
      <w:r>
        <w:rPr>
          <w:rFonts w:ascii="Times New Roman;serif" w:hAnsi="Times New Roman;serif"/>
          <w:b w:val="false"/>
          <w:color w:val="000000"/>
          <w:sz w:val="20"/>
        </w:rPr>
        <w:t xml:space="preserve">Healthcare providers generally rely on third-party payors, including Medicare, Medicaid, Medicare Advantage and commercial insurance plans, to cover and reimburse all or part of the cost of the Vivistim System. As a result, demand for our Vivistim System depends in part on the availability of reimbursement from such payors and the rates that such payors reimburse for implantation procedures with the Vivistim System. The Vivistim System implantation procedure falls under a long-established Category 1 CPT code. Effective January 1, 2026, this code was assigned to a New Technology Ambulatory Payment Classification (APC) by CMS, which established an elevated payment level. Future changes in payment levels could have a significant impact on patient access to the Vivistim System, and thus on our revenue, either positively or negatively. Medicare fee-for-service patients can typically access Vivistim Therapy when medically necessary, without prior authorization. Commercial insurance plans, Medicaid and Medicare Advantage generally require prior authorization. Our in-house market access team works to provide support in navigating the prior authorization process and facilitating positive coverage decisions by third-party payors, including by utilizing our robust clinical evidence, demonstrating economic value, and leveraging endorsements from key opinion leaders. Our growth in 2025 was, and our future success will be, driven in part by our ability to facilitate streamlined prior authorization processes and increase coverage by third-party payors, and improve market access.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Expanding our clinical evidence.</w:t>
      </w:r>
      <w:r>
        <w:rPr>
          <w:color w:val="000000"/>
        </w:rPr>
        <w:t xml:space="preserve"> </w:t>
      </w:r>
      <w:r>
        <w:rPr>
          <w:rFonts w:ascii="Times New Roman;serif" w:hAnsi="Times New Roman;serif"/>
          <w:b w:val="false"/>
          <w:color w:val="000000"/>
          <w:sz w:val="20"/>
        </w:rPr>
        <w:t xml:space="preserve">We have built, and remain committed to expanding, a robust body of clinical evidence demonstrating the safety, efficacy and durability of Vivistim Therapy. We believe the extent of our clinical evidence is important for increasing awareness and adoption of, and driving broader coverage decisions for the Vivistim System. We are actively enrolling patients in our GRASP registry and plan to publish 12-, 24-, and 36-month outcomes. We anticipate that our real-world evidence will also support a robust cadence of publications in the future that will further validate our clinical trials and the direct experiences of patients and healthcare providers. We plan to build our base of clinical evidence by supporting new clinical studies.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Continued investment in research and development.</w:t>
      </w:r>
      <w:r>
        <w:rPr>
          <w:color w:val="000000"/>
        </w:rPr>
        <w:t xml:space="preserve"> </w:t>
      </w:r>
      <w:r>
        <w:rPr>
          <w:rFonts w:ascii="Times New Roman;serif" w:hAnsi="Times New Roman;serif"/>
          <w:b w:val="false"/>
          <w:color w:val="000000"/>
          <w:sz w:val="20"/>
        </w:rPr>
        <w:t>We focus on innovation to develop new products and product enhancements, including to improve clinical outcomes, optimize patient experience, enhance physician usability, increase utilization, and increase patient engagement. We expect to continue to invest in supporting these initiatives. Our near-term research and development activities are primarily directed toward continued technological advancement of the Vivistim System, and development of a next-generation Vivistim System with enhanced features. We also expect to invest in exploring expansions into other functional impairments (e.g., lower limb) or stroke etiologies (e.g., intracerebral hemorrhage).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generate all of our revenue from the sale of our Vivistim System to customers, mainly primary and comprehensive stroke centers, in the United States. Our customers typically purchase an initial stocking order and then reorder replenishment product as procedures are performed. No single customer accounted for 10% or more of our revenue during the years ended December 31, 2025 or 2024. We expect revenue to increase as we expand our commercial organization and sales territories, add customers and expand patient and customer awareness. We have expanded our commercial organization to help us drive and support revenue growth and intend to continue this expansion. We also expect that demand, and thus revenue growth, will be positively impacted by, and to the extent that, we obtain additional positive coverage policies with payors. While we have experienced strong revenue growth, our revenue may fluctuate from quarter to quarter due to a variety of factors.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 of goods sold and gross margin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acquisition costs of finished goods and components, depreciation, warranty costs to replace aged, damaged or unusable items, product replacement costs, shipping costs, packaging costs, and allocated costs including facilities and information technology. We expect cost of goods sold to increase in absolute terms as our revenue grows.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gross margin as gross profit divided by revenue. Our gross profit has been and will continue to be affected by a variety of factors, including sales volumes, purchase volumes of inventory, cost of goods sold, tariffs, inflation, and product yields. Our gross margin will likely fluctuate from quarter to quarter.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costs related to product development, engineering, clinical studies related to new clinical indications, regulatory expenses, testing, consulting services and other costs associated with product improvements and next generation versions of our products. Other research and development costs include salaries, employee benefits, stock-based compensation and other headcount-related costs, depreciation expense and allocated costs related to facilities and information technology. We expect our research and development expenses to increase in absolute dollars in the future as we pursue product development initiatives, including product improvements and next-generation versions of our products, and continue to expand our clinical data. We expect research and development expenses as a percentage of revenue to vary over time depending on the level and timing of initiating product development efforts and clinical development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compensation for personnel, including salaries, employee benefits, stock-based compensation, commissions associated with our commercial organization, spending related to sales and marketing, finance, information technology and human resource functions, expenses related to clinical studies and our registry for our current clinical indication, legal expenses related to regulatory matters, and training. Other expenses include travel expenses, advertising, conferences, trade shows, consulting and professional services fees, insurance costs, and general corporate expenses, including facilities-related expenses. The activities of our TMs and TDSs to facilitate customer adoption and utilization of the Vivistim System, and of our in-house market access team in facilitating the administrative prior authorization process, are included in selling, general and administrative expenses and do not represent contractual obligations or services provided to customers after product delivery. We expect selling, general and administrative expenses to continue to increase in absolute dollars as we expand our commercial organization, including with respect to TMs and TDSs, to both drive and support our planned growth in revenue, fund clinical studies and our registry for our current clinical indication, and incur additional expenses associated with operating as a public company, including costs related to legal, accounting, insurance, compliance with exchange listing and Securities and Exchange Commission requirements, and investor relations. We also expect an increase in our stock-based compensation expense with the establishment of a new equity plan associated with this offering and related grants either in the form of restricted stock or options. However, we expect selling, general and administrative expenses to decrease as a percentage of revenue primarily as, and to the extent, our revenue grows.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primarily of interest expense on our debt obligations, including our Loan and Security Agreement, as well as amortization of debt issuance costs, interest income on our cash and cash equivalents and fair value adjustments related to our redeemable convertible preferred stock warrants and redeemable convertible preferred stock tranche liability. We expect our other income (expense), net to vary in future periods depending on the extent of our debt obligations.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of income taxes in the United States and includes deferred taxes on temporary differences for tax and financial statement purposes.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Comparison of years ended December 31, 2025 and 2024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years ended December 31, 2025 and 2024.</w:t>
      </w:r>
    </w:p>
    <w:tbl>
      <w:tblPr>
        <w:tblW w:w="9323" w:type="dxa"/>
        <w:jc w:val="left"/>
        <w:tblInd w:w="0" w:type="dxa"/>
        <w:tblLayout w:type="fixed"/>
        <w:tblCellMar>
          <w:top w:w="28" w:type="dxa"/>
          <w:left w:w="28" w:type="dxa"/>
          <w:bottom w:w="28" w:type="dxa"/>
          <w:right w:w="28" w:type="dxa"/>
        </w:tblCellMar>
      </w:tblPr>
      <w:tblGrid>
        <w:gridCol w:w="1352"/>
        <w:gridCol w:w="1191"/>
        <w:gridCol w:w="1192"/>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08"/>
        <w:gridCol w:w="308"/>
        <w:gridCol w:w="316"/>
      </w:tblGrid>
      <w:tr>
        <w:trPr/>
        <w:tc>
          <w:tcPr>
            <w:tcW w:w="135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 except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$16.4 million, or 104.8%, to $32.0 million for the year ended December 31, 2025, compared to $15.6 million for the year ended December 31, 2024. The increase was driven entirely by higher adoption of the Vivistim System. Units of IPGs, a primary component of the Vivistim System, sold increased by 108.1% during the period. This revenue growth reflects our continued efforts to increase awareness and expand our commercial organization while maintaining a consistent average selling price of the Vivistim System.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goods sold and gross margin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increased by $2.9 million, or 90.0%, to $6.1 million for the year ended December 31, 2025, compared to $3.2 million for the year ended December 31, 2024. While the cost per unit of the underlying product remained relatively consistent year over year, the increase in cost of goods sold was primarily driven by higher sales volume of Vivistim Systems, as well as an increase in freight and tariff costs during the year ended December 31, 2025. Gross margin increased to 81.1% in 2025, from 79.6% in 2024. Gross margin improved as lower overhead costs and lower product warranty expense as a percentage of revenue more than offset higher freight costs and tariffs in 2025, while per-unit product costs remained relatively consistent.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$2.3 million, or 53.5%, to $6.5 million for the year ended December 31, 2025, compared to $4.2 million for the year ended December 31, 2024. The increase was primarily due to an increase of $1.8 million of expenses related to product development efforts including external development services, and $0.5 million of expenses related to increased headcount and related expenses.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$33.4 million, or 102.9%, to $65.8 million for the year ended December 31, 2025, compared to $32.4 million for the year ended December 31, 2024. The increase was primarily due to an increase of $21.3 million of personnel-related expenses as a result of increased headcount in our commercial organization, increased commissions and an increase in the number of Vivistim Systems sold, increases of $4.4 million in marketing and market access-related costs, $3.5 million related to travel, meetings and conferences and $1.2 million related to professional services, as well as certain other expenses related to supplies, materials, software and our ongoing registry and monitoring for our current clinical indication.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Total other expense, net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other expense, net was $0.1 million for the year ended December 31, 2025, compared to total other expense, net of $0.4 million for the year ended December 31, 2024. The increase was primarily due to the recording of $0.2 million related to our Series F preferred stock tranche liability, partially offset by a $0.3 million increase in interest income.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Provision for income taxes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decreased by $8,463 for the year ended December 31, 2025 compared to the year ended December 31, 2024, and primarily represents minimum state taxes due.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Results of Operations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unaudited quarterly information for the periods presented. The unaudited quarterly information set forth below has been prepared on a basis consistent with our audited annual financial statements included elsewhere in this prospectus and includes, in our opinion, all normal recurring adjustments necessary for the fair statement of the results of operations for the periods presented. Our historical unaudited quarterly results are not necessarily indicative of the results that may be expected in the future. The following unaudited quarterly financial information should be read in conjunction with our audited financial statements and related notes thereto included elsewhere in this prospectus.</w:t>
      </w:r>
    </w:p>
    <w:tbl>
      <w:tblPr>
        <w:tblW w:w="10205" w:type="dxa"/>
        <w:jc w:val="left"/>
        <w:tblInd w:w="0" w:type="dxa"/>
        <w:tblLayout w:type="fixed"/>
        <w:tblCellMar>
          <w:top w:w="28" w:type="dxa"/>
          <w:left w:w="28" w:type="dxa"/>
          <w:bottom w:w="28" w:type="dxa"/>
          <w:right w:w="28" w:type="dxa"/>
        </w:tblCellMar>
      </w:tblPr>
      <w:tblGrid>
        <w:gridCol w:w="626"/>
        <w:gridCol w:w="333"/>
        <w:gridCol w:w="318"/>
        <w:gridCol w:w="181"/>
        <w:gridCol w:w="489"/>
        <w:gridCol w:w="109"/>
        <w:gridCol w:w="109"/>
        <w:gridCol w:w="109"/>
        <w:gridCol w:w="109"/>
        <w:gridCol w:w="181"/>
        <w:gridCol w:w="489"/>
        <w:gridCol w:w="109"/>
        <w:gridCol w:w="109"/>
        <w:gridCol w:w="109"/>
        <w:gridCol w:w="109"/>
        <w:gridCol w:w="182"/>
        <w:gridCol w:w="493"/>
        <w:gridCol w:w="109"/>
        <w:gridCol w:w="109"/>
        <w:gridCol w:w="109"/>
        <w:gridCol w:w="109"/>
        <w:gridCol w:w="181"/>
        <w:gridCol w:w="542"/>
        <w:gridCol w:w="109"/>
        <w:gridCol w:w="109"/>
        <w:gridCol w:w="109"/>
        <w:gridCol w:w="109"/>
        <w:gridCol w:w="181"/>
        <w:gridCol w:w="564"/>
        <w:gridCol w:w="109"/>
        <w:gridCol w:w="109"/>
        <w:gridCol w:w="109"/>
        <w:gridCol w:w="109"/>
        <w:gridCol w:w="181"/>
        <w:gridCol w:w="564"/>
        <w:gridCol w:w="109"/>
        <w:gridCol w:w="109"/>
        <w:gridCol w:w="109"/>
        <w:gridCol w:w="109"/>
        <w:gridCol w:w="181"/>
        <w:gridCol w:w="564"/>
        <w:gridCol w:w="109"/>
        <w:gridCol w:w="109"/>
        <w:gridCol w:w="109"/>
        <w:gridCol w:w="109"/>
        <w:gridCol w:w="181"/>
        <w:gridCol w:w="564"/>
        <w:gridCol w:w="158"/>
      </w:tblGrid>
      <w:tr>
        <w:trPr/>
        <w:tc>
          <w:tcPr>
            <w:tcW w:w="6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For the three months ended</w:t>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2"/>
              </w:rPr>
            </w:pPr>
            <w:r>
              <w:rPr>
                <w:rFonts w:ascii="Times New Roman;serif" w:hAnsi="Times New Roman;serif"/>
                <w:b/>
                <w:color w:val="000000"/>
                <w:sz w:val="12"/>
              </w:rPr>
              <w:t>(in thousands)</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December 31,</w:t>
              <w:br/>
              <w:t>2025</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Revenue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Cost of goods sold </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Gross profit </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Expenses</w:t>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Research and development costs </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Selling, general and administrative expenses </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Total operating expenses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Loss from operations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(14,347)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w:t>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Interest expense </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income (expense), net </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other income (expense), net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Loss before provision for income taxes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Provision for income tax </w:t>
            </w:r>
          </w:p>
        </w:tc>
        <w:tc>
          <w:tcPr>
            <w:tcW w:w="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loss attributable to common stockholders</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(10,489)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(11,423)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(13,933)</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date, our primary sources of capital have been private placements of preferred stock, debt financing arrangements and revenue from sales of our Vivistim System. As of December 31, 2025, we had cash and cash equivalents of $33.6 million and an accumulated deficit of approximately $157.8 million. In the first quarter of 2026, we issued convertible promissory notes to certain investors in an aggregate principal amount of $40.0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operating expenses to continue to increase for the foreseeable future as we continue to make significant investments in our commercial organization, seek to expand our marketing programs to help facilitate further awareness and adoption of our Vivistim System, continue to make investments in research and development, including regulatory affairs and clinical studies, and as we continue to scale our infrastructure. Moreover, we expect to incur additional expenses associated with operating as a public company, including costs related to legal, accounting, insurance, exchange listing and Securities and Exchange Commission requirements, and investor relations.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liquidity and capital requirements will depend on numerous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revenue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market awareness and adoption of Vivistim Therapy, including by patients and our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scope, timing and costs of supporting the growth and expansion of our commercial organization and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amount of reimbursement for procedures using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adoption of private payor coverage of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acquisition costs of finished goods and components used in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securing additional suppliers and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costs of our research and development efforts;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and costs of our current or future clinical trials and registries as well as costs associated with complying with regulatory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additional regulatory clearances or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attaining, defending, and enforcing our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we acquire third-party products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litigation or other claims against us for intellectual property infringement or otherwise;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emergence of competing or complementary technologies;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raise additional funds to finance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debt service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need to implement additional infrastructure and internal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industry and market conditions or extraordinary external events, such as a recession;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at which we expand internationally;</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associated with being a public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reputation among physicians, hospitals, therapists and patients;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we are required by the FDA or comparable non-U.S. regulatory authorities to conduct additional clinical trials for future or current indications.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concluded that our history of continued operating losses and negative cash flow from operations and accumulated deficit raise substantial doubt about our ability to continue as a going concern. See Note 2 to our financial statements for the fiscal year ended December 31, 2025 included elsewhere in this prospectus for additional information on our assessment. Similarly, our independent registered public accounting firm included an explanatory paragraph in its report on our financial statements as of and for the fiscal year ended December 31, 2025 included elsewhere in this prospectus, describing the existence of substantial doubt about our ability to continue as a going concern. Based on our current operating plan, we do not expect that our cash and cash equivalents will be sufficient to fund our operations for at least 12 months after the date of these financial statements are issued without raising additional capital through equity or debt financing, or potential collaboration proceeds. We believe that the actions presently being taken to further implement our business plan, generate revenues, and raise additional capital provide the opportunity for us to continue as a going concern. While we believe in the viability of our strategy to generate revenues and in our ability to raise additional funds, there can be no assurances that we will be successful in these efforts and the substantial doubt will be alleviated.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However, based on our current operating plan, we believe that the estimated net proceeds from this offering, together with our existing cash and cash equivalents, will be sufficient to fund our planned operating expenses for at least the next 12 months. We have based this estimate on assumptions that may prove to be wrong, and we could deplete our capital resources sooner than we expect. Our ability to continue as a going concern is dependent upon our ability to successfully secure sources of financing and ultimately achieve profitable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these sources are insufficient to satisfy our liquidity requirements, we may seek additional financing or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commercial efforts, product development programs or other operations, and such failure would have a negative impact on our financial condition and our ability to execute our business plan. If we raise additional funds by issuing equity securities or convertible debt,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If we raise additional capital through collaboration agreements, licensing arrangements or marketing and distribution or other similar arrangements, we may have to relinquish valuable rights, future revenue streams, research programs or product or grant licenses that may not be favorable to us.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years ended December 31, 2025 and 2024: </w:t>
      </w:r>
    </w:p>
    <w:tbl>
      <w:tblPr>
        <w:tblW w:w="7175" w:type="dxa"/>
        <w:jc w:val="left"/>
        <w:tblInd w:w="0" w:type="dxa"/>
        <w:tblLayout w:type="fixed"/>
        <w:tblCellMar>
          <w:top w:w="28" w:type="dxa"/>
          <w:left w:w="28" w:type="dxa"/>
          <w:bottom w:w="28" w:type="dxa"/>
          <w:right w:w="28" w:type="dxa"/>
        </w:tblCellMar>
      </w:tblPr>
      <w:tblGrid>
        <w:gridCol w:w="1535"/>
        <w:gridCol w:w="1353"/>
        <w:gridCol w:w="1356"/>
        <w:gridCol w:w="109"/>
        <w:gridCol w:w="109"/>
        <w:gridCol w:w="109"/>
        <w:gridCol w:w="211"/>
        <w:gridCol w:w="796"/>
        <w:gridCol w:w="109"/>
        <w:gridCol w:w="109"/>
        <w:gridCol w:w="109"/>
        <w:gridCol w:w="109"/>
        <w:gridCol w:w="211"/>
        <w:gridCol w:w="79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$45.7 million for the year ended December 31, 2025. This was primarily due to net losses incurred during the period of $46.5 million. The cash used in operating activities for the year ended December 31, 2025 was also affected by increases in other assets of $2.6 million, inventory of $2.0 million, and accounts receivable of $1.6 million. These changes were offset by increases in accrued liabilities (for accruals in commissions, bonuses and product warranty reserves) of $4.2 million and accounts payable of $1.1 million, as well as non-cash share-based compensation of $1.4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$24.3 million for the year ended December 31, 2024. This was primarily due to net losses incurred during the period of $24.6 million, as well as an increase in accounts receivable of $1.4 million. These changes were offset by increases in accrued liabilities (for accruals in commissions, bonuses and product warranty reserves) of $1.4 million, as well as non-cash stock-based compensation of $0.8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$0.4 million for the year ended December 31, 2025, consisting of purchases of property and equipment.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$40,848 for the year ended December 31, 2024, consisting of purchases of property and equipment.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$65.0 million for the year ended December 31, 2025, attributable primarily to net proceeds of $64.7 million received from the issuance of Series F redeemable convertible preferred stock and $0.3 million received upon the issuance of shares of our common stock following the exercise of stock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$15.7 million for the year ended December 31, 2024, attributable to net proceeds of $15.0 million received upon the issuance of shares of our Series E-2 redeemable convertible preferred stock and $0.7 million received upon the issuance of shares of our common stock following the exercise of stock options.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Loan and Security Agreement with Horizon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29, 2023, we entered into a Loan and Security Agreement (the Loan and Security Agreement) with Horizon Technology Finance Corporation.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Each tranche comprises two equal loans of $3,750,000. As of December 31, 2025, there was $7.5 million outstanding under the Loan and Security Agreement, representing the full available aggregate principal amount under the Loan and Security Agreement, and no additional tranches are available to draw down under the Loan and Security Agreement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tranches are subject to various conditions and requirements set out in the Loan and Security Agreement. The availability of the first tranche was subject to, among other things, our completing an equity offering of at least $15.0 million on or before December 31, 2023. We satisfied the conditions of the first tranche and drew down $7.5 million in December 2023. The availability of the second tranche was subject to, among other things, our completing an equity offering of at least $15.0 million on or before December 31, 2024. We did not draw down this second tranche. The availability of the third tranche was subject to, among other things, (i) our achievement of at least $20.0 million of trailing 12-month revenue as of the funding date and (ii) our completing an equity offering of at least $30.0 million on or before June 20, 2025. We did not draw down this third tranche. The availability of the fourth tranche is subject to, among other things, (i) our achievement of at least $25.0 million of trailing 12-month revenue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funding date and (ii) our completing an equity offering of at least $30.0 million on or before December 31, 2025. We did not draw down this fourth tranche. Our ability to draw additional loans under the Loan and Security Agreement expired on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Loan and Security Agreement, we are required to issue a warrant to purchase shares of our securities in the event that we draw down a tranche following satisfaction of the applicable conditions. In connection with our draw down of the first tranche under the Loan and Security Agreement, we issued first tranche warrants to purchase such number of securities representing an aggregate of $262,500 to Horizon. The first tranche warrants are exercisable, at the election of Horizon, for (i) shares of Series E-2 redeemable convertible preferred stock at an exercise price of $2.5443 per share or (ii) shares of Series F redeemable convertible preferred stock at an exercise price of $2.6317 per share, and expire ten years from the date of issuance.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and Security Agreement matures on January 1, 2029. Borrowings under the Loan and Security Agreement accrue interest at an annual rate equal to the greater of (i) The Wall Street Journal (or any successor thereto) prime rate (subject to a floor of 8.50%) plus 3.75% and (ii) 12.25%. We are required to make monthly payments of interest only through January 1, 2028. Following such date, we are required to make monthly payments of principal and accrued interest through maturity. The unpaid balance of principal and accrued interest is due at maturity.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and Security Agreement provides that we can at any time prepay, in whole but not in part, amounts outstanding under the Loan and Security Agreement, subject to a prepayment premium on the outstanding principal amount of the loans being repaid equal to (i) 3.0% if such prepayment occurs on or prior to the second anniversary of the Loan and Security Agreement; (ii) 2.0% if such prepayment occurs after the second anniversary, and on or prior to the fourth anniversary, of the Loan and Security Agreement; and (iii) 1.0% if such prepayment occurs after the fourth anniversary of the Loan and Security Agreement and prior to maturity.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make a final payment of $131,250 for each loan funded on the earlier of (i) the date that we prepay all of the outstanding principal of such loan, (ii) the date of acceleration of the balance of such loan by the Lender, and (iii) the maturity.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Loan and Security Agreement are secured by substantially all of our assets, excluding intellectual property.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Loan and Security Agreement includes customary affirmative and negative covenants and events of default. Upon the occurrence and continuance of an event of default, Horizon may demand immediate repayment of all principal and unpaid interest under the Loan and Security Agreement, and exercise remedies against us and the collateral securing our obligations under the Loan and Security Agreement. Events of default under the Loan and Security Agreement include, among other things: (i) insolvency, bankruptcy or similar proceedings subject to a certain grace period in respect of any involuntary insolvency, bankruptcy or similar proceedings; (ii) failure to pay any debts due under the Loan and Security Agreement or other indebtedness on a timely basis; (iii) failure to observe any covenant or other terms under the Loan and Security Agreement or the other Loan Documents (as defined in the Loan and Security Agreement), some of which are subject to a certain cure period; (iv) occurrence of a material adverse change; (v) material misrepresentations; and (vi) entry of certain final, non-appealable judgments against us in excess of $250,000 not paid or bonded within 10 days of such entry.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were in compliance with all covenants contained in the Loan and Security Agreement.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Convertible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January 30, 2026 through February 11, 2026, we issued convertible promissory notes to certain investors in an aggregate principal amount of $40.0 million (2026 Convertible Notes). The 2026 Convertible Notes mature on January 30, 2028 (Maturity Date). The 2026 Convertible Notes bear no interest for the first six months following the date of issuance (Interest Free Period). Following such Interest Free Period, the 2026 Convertible Notes accrue interest at a rate of 7.0% per annum through the Maturity Date, which interest payments shall be paid in kind. Immediately prior to the closing of this offering, the 2026 Convertible Notes and any accrued interest will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automatically convert into shares of our common stock at the applicable conversion price. The conversion price is the lower of (a) 80% of the initial public offering price per share in this offering and (b) the valuation of the Company immediately prior to the closing of this offering divided by the number of fully diluted shares of capital stock (on an as-converted basis) outstanding immediately prior to this offering but excluding the 2026 Convertible Notes (Fully Diluted Capitalization), provided, that in no event shall such conversion price be less than the quotient obtained by dividing $226.0 million by the Fully Diluted Capitalization or greater than the quotient obtained by dividing $750.0 million by the Fully Diluted Capitalization. Based on the initial public offering price of $15.00 per share, and without giving effect to accrued interest (if any), the 2026 Convertible Notes will automatically convert into an aggregate of 3,333,324 shares of our common stock immediately prior to the closing of this offering.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our financial statements in conformity with GAAP requires us to make estimates and judgments that affect the amounts reported in the financial statements and related notes thereto. Critical accounting estimates are those estimates that, in accordance with GAAP, involve a significant level of estimation uncertainty and have had or are reasonably likely to have a material impact on our financial statements. Management has determined that our most critical accounting estimates are those relating to stock compensation and valuation of common stock. Although we believe that the estimates we use are reasonable, due to the inherent uncertainty involved in making these estimates, actual results reported in future periods could differ materially from those estimates. The following is a summary of certain accounting estimates we consider critical. For further discussion about our accounting policies, see Note 3 to our financial statements included elsewhere in this prospectus.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and Common Stock Valuation</w:t>
      </w:r>
    </w:p>
    <w:p>
      <w:pPr>
        <w:pStyle w:val="TextBody"/>
        <w:bidi w:val="0"/>
        <w:spacing w:lineRule="auto" w:line="288" w:before="0" w:after="180"/>
        <w:jc w:val="left"/>
        <w:rPr/>
      </w:pPr>
      <w:r>
        <w:rPr>
          <w:rFonts w:ascii="Times New Roman;serif" w:hAnsi="Times New Roman;serif"/>
          <w:b w:val="false"/>
          <w:color w:val="000000"/>
          <w:sz w:val="20"/>
        </w:rPr>
        <w:t xml:space="preserve">We measure compensation expense for stock options and other stock-based awards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Stock-based compensation expense is measured based on the fair value of the awards on the grant date and is recognized over the requisite service period for time-vesting awards or, for awards with a performance condition, over the requisite service period if the performance condition is probable of achievement. Estimating fair value for stock-based awards requires the selection of the appropriate valuation model based on the specific terms and conditions of each grant. For stock options, the Black-Scholes option-pricing model is used to calculate the grant date fair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Black-Scholes model relies on subjective assumptions to determine the fair value of stock-based awards,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 xml:space="preserve">The expected term represents the period that stock-based awards are expected to be outstanding. The expected term for employee stock options is estimated using the “simplified” method, whereby the expected term equals the average of the award’s weighted-average vesting period and contractual term.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Expected Volatility</w:t>
      </w:r>
      <w:r>
        <w:rPr>
          <w:color w:val="000000"/>
        </w:rPr>
        <w:t>—</w:t>
      </w:r>
      <w:r>
        <w:rPr>
          <w:rFonts w:ascii="Times New Roman;serif" w:hAnsi="Times New Roman;serif"/>
          <w:b w:val="false"/>
          <w:color w:val="000000"/>
          <w:sz w:val="20"/>
        </w:rPr>
        <w:t xml:space="preserve">Since we have been privately held and do not have any trading history for our common stock, we estimated the expected volatility based on the average volatility for comparable publicly traded companies over a period equal to the expected term of the stock option grants.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 xml:space="preserve">The risk-free interest rate is determined by reference to the U.S. Treasury yield curve in effect at the time of grant of the award for time periods approximately equal to the expected term of the award.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Expected Dividend Yield</w:t>
      </w:r>
      <w:r>
        <w:rPr>
          <w:color w:val="000000"/>
        </w:rPr>
        <w:t>—</w:t>
      </w:r>
      <w:r>
        <w:rPr>
          <w:rFonts w:ascii="Times New Roman;serif" w:hAnsi="Times New Roman;serif"/>
          <w:b w:val="false"/>
          <w:color w:val="000000"/>
          <w:sz w:val="20"/>
        </w:rPr>
        <w:t xml:space="preserve">We have never paid dividends on our common stock and have no plans to pay dividends on our common stock. Therefore, we used an expected dividend yield of zero.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 xml:space="preserve">Because our common stock is not yet publicly traded, we are required to estimate the fair value of our common stock, as discussed below.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Common Stock Valuation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this offering, given the absence of a public trading market for our common stock, our board exercised reasonable judgment and considered a combination of objective and subjective factors to determine the best estimate of the fair value of our common stock at each grant date,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independent third-party valuations of our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prices of recent issuances of redeemable convertible preferred stock by us to investors in arm’s-length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preferences, and privileges of our redeemable convertible preferred stock relative to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current business condition, financial performance, and growth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performance and market position relative to comparable publicly-traded companies;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likelihood and timing of achieving a liquidity event, such as an initial public offering or sale of our company, given prevailing market conditions and company readiness;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lack of marketability and liquidity inherent in our common stock;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general economic outlook and macroeconomic conditions.</w:t>
      </w:r>
    </w:p>
    <w:p>
      <w:pPr>
        <w:pStyle w:val="TextBody"/>
        <w:bidi w:val="0"/>
        <w:spacing w:lineRule="auto" w:line="288" w:before="0" w:after="180"/>
        <w:jc w:val="left"/>
        <w:rPr/>
      </w:pPr>
      <w:r>
        <w:rPr>
          <w:rFonts w:ascii="Times New Roman;serif" w:hAnsi="Times New Roman;serif"/>
          <w:b w:val="false"/>
          <w:color w:val="000000"/>
          <w:sz w:val="20"/>
        </w:rPr>
        <w:t xml:space="preserve">Independent third-party valuations were performed in accordance with the guidance outlined in the American Institute of Certified Public Accountants and Valuation Guide, </w:t>
      </w:r>
      <w:r>
        <w:rPr>
          <w:rFonts w:ascii="Times New Roman;serif" w:hAnsi="Times New Roman;serif"/>
          <w:b w:val="false"/>
          <w:i/>
          <w:color w:val="000000"/>
          <w:sz w:val="20"/>
        </w:rPr>
        <w:t>Valuation of Privately Held Company Equity Securities Issued as Compensation</w:t>
      </w:r>
      <w:r>
        <w:rPr>
          <w:rFonts w:ascii="Times New Roman;serif" w:hAnsi="Times New Roman;serif"/>
          <w:b w:val="false"/>
          <w:color w:val="000000"/>
          <w:sz w:val="20"/>
        </w:rPr>
        <w:t xml:space="preserve">. The methodology to determine the fair value of our common stock included estimating the fair value of the enterprise using a market approach that primarily considered recent arm’s-length transactions in our equity securities and other relevant market data. The resulting equity value was then used as a basis for determining the fair value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historical valuations have primarily used the subject company transaction method and the subject company transaction method with market adjustment to equity value. The subject company transaction method involves examining our prior equity transactions and considering these transactions as relevant inputs for the equity value. The subject company transaction method with market adjustment to equity value involves examining our prior equity transactions, in conjunction with a market adjustment to equity value to account for changes at our company, in our industry and in the economy since the most recent equity transaction. For example, recent valuations examined our Series F redeemable convertible preferred stock financing, which held closings in March 2025 and October 2025, as a key valuation input.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valuations prior to December 2025, these independent third-party valuations then allocated the equity value of the business to our common stock using the option-pricing model (OPM). Under the OPM, shares are valued by creating a series of call options with exercise prices based on the liquidation preferences, participation rights, dividend policy, and conversion terms of each equity class. The values of the preferred and common stock are inferred by analyzing these options, and the common stock has value only if the funds available for distribution to stockholders exceed the value of the liquidation preferences at the time of a liquidity event.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valuations performed since December 2025, these independent third-party valuations utilized the probability-weighted expected return method (PWERM). The PWERM is a forward-looking valuation methodology that estimates the fair value of equity securities by considering multiple potential future outcomes for the Company and assigning probability weightings to each scenario. In connection with the December 2025 valuation, the analysis considered two primary potential outcomes: (i) a potential initial public offering and (ii) a scenario in which the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would continue operating as a privately held company. For each scenario, the valuation firm estimated the Company’s enterprise value based on the applicable valuation methodologies and market inputs, and then allocated that value across the Company’s capital structure to determine the implied value of the Company’s common stock. The resulting common stock values under each scenario were then probability-weighted based on management’s assessment of the likelihood of each outcome as of the valuation date to determine the estimated fair market value of the Company’s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 of these approaches involves the use of estimates, judgment, and assumptions that are complex and subjective, including assumptions regarding the expected timing of a liquidity event, risk-free interest rates, expected equity volatility, discount rates, market multiples, the selection of comparable companies, forecast revenue, the probability of possible events, discount for lack of marketability, our capital structure and the rights and preferences of our outstanding securities, including liquidity preferences.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valuations after the completion of this offering, the fair value of each share of underlying common stock will be based on the closing price of our common stock as reported by primary stock exchange where our common stock is traded on the applicable grant date.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See Note 3 to our audited financial statements included elsewhere in this prospectus for more information.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Quantitative and Qualitative Disclosures About Market Risk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primary risk associated with fluctuating interest rates is related to our debt. Borrowings under the Loan and Security Agreement accrue interest at an annual rate equal to the greater of (i) The Wall Street Journal (or any successor thereto) prime rate (subject to a floor of 8.50%) plus 3.75% and (ii) 12.25%. In addition, we hold cash and cash equivalents as well as marketable securities, all of which may generate interest income. The primary objectives of our investment activities are to preserve principal and provide liquidity. Since our results of operations are not dependent on investments, we believe the risk associated with fluctuating interest rates is limited. We do not believe that a hypothetical 10% increase or decrease in interest rates during any of the periods presented would have had a material effect on our financial statements included elsewhere in this prospectus. We do not currently use or plan to use financial derivatives in our investment portfolio and we do not currently engage in hedging transactions to manage our exposure to interest rate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Institution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cash and cash equivalents were maintained with two financial institutions in the United States, and our deposits are generally in excess of insured limits. Cash amounts held at financial institutions are insured by the Federal Deposit Insurance Corporation up to $250,000. We do not believe we are exposed to any significant credit risk. Our cash equivalents are invested in highly rated money market funds.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Inflationary and supply chain pressures may adversely impact our future financial results. Our operating costs have increased and may continue to increase because of these pressures, and we may not be able to fully offset these cost increases by raising prices for products or other mitigation efforts, which could result in downward pressure on margins.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risk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is primarily conducted in U.S. dollars. Any transactions that may be conducted in foreign currencies are not expected to have a material effect on our results of operations, financial position or cash flows.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The JOBS Act permits an “emerging growth company” such as us to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The JOBS Act also exempts us from having to provide an attestation and report from our independent registered public accounting firm on the assessment of our internal control over financial reporting pursuant to the Sarbanes-Oxley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commercial-stage medical device company redefining stroke recovery for survivors living with life-altering motor impairments. Our Vivistim Paired Vagus Nerve Stimulation (Paired VNS) System is the first and only clinically-validated, FDA-approved solution for chronic ischemic stroke survivors with moderate to severe upper extremity impairments. Stroke is one of the leading causes of long-term disability in the United States. While advancements in acute stroke care over the past decade have significantly reduced mortality, innovation for chronic stroke recovery has lagged, resulting in a growing number of stroke survivors living with meaningful impairments. Our breakthrough Vivistim Paired VNS System (Vivistim System) addresses this unmet need. The Vivistim System includes an implanted pulse generator and lead that deliver stimulation to the vagus nerve when activated. During treatment (Vivistim Therapy), intentional bursts of stimulation are delivered during functional movement to increase neuroplasticity and durably restore motor function. Clinical data has demonstrated that Vivistim Therapy delivers meaningful improvements in upper limb function, which can help stroke survivors regain critical capabilities and independence and restore quality of life, regardless of the time elapsed since the patient’s stroke. We believe we are setting a new standard of care in chronic stroke recovery, facilitating a new treatment pathway for chronic ischemic stroke survivors with moderate to severe upper extremity impairments. We have experienced rapid growth since our full commercial launch in 2023, and physicians have performed over 1,000 implants, including approximately 700 in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United States, a stroke occurs every 40 seconds and approximately 800,000 strokes occur annually, according to a report published by the American Heart Association (AHA) in 2025. Stroke occurs when blood flow to a region of the brain is suddenly interrupted, either because an artery becomes blocked in the case of an ischemic stroke, or because a weakened blood vessel ruptures in the case of a hemorrhagic stroke. For stroke survivors, the interruption of blood flow to the brain can result in lasting motor, cognitive, visual, and language impairments, including weakness or hemiparesis affecting the extremities. Based on a report published by the AHA in 2025, we estimate that there are currently approximately 10 million stroke survivors in the United States, the majority of whom are living with chronic impairments.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Chronic ischemic stroke is a serious medical condition characterized by physical and cognitive impairments that persist beyond the first three to six months post-stroke. These impairments can materially diminish a patient’s independence and quality of life. According to a report published by the AHA in 2025, ischemic stroke is a leading cause of serious long-term impairment for adults in the United States and has an estimated annual healthcare burden of more than $25 billion.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Chronic stroke recovery presents a significant market opportunity. According to the AHA, approximately 87% of the strokes in the United States are ischemic. This equates to approximately 9 million ischemic stroke survivors in the United States, of which we estimate that more than 4 million are chronic ischemic stroke survivors living with moderate to severe upper extremity impairment. This population falls within the current on-label indication for the Vivistim System. We believe that an initial market opportunity comprises approximately 1 million of those survivors that demonstrate the requisite overall health, cognition and motivation to participate in therapy and have received some amount of post-stroke therapy, which we estimate represents an initial market opportunity of over $30 billion based on the average selling price of the Vivistim System. Vivistim Therapy is effective for recent stroke survivors as well as patients who initiate treatment many years post-stroke.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standard of care for motor recovery in the chronic stage of stroke. After the initial three- to six-month sub-acute phase post-stroke, we believe patients typically reach a functional plateau with conventional physical rehabilitation and have limited options to continue improving. As a result, we believe that there is a large population of highly motivated stroke survivors who have few proven options.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breakthrough Vivistim System is the first and only FDA-approved solution for chronic ischemic stroke survivors with moderate to severe upper extremity impairments. The Vivistim System facilitates Vivistim Therapy,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which has been clinically proven to significantly improve upper limb function and help patients regain critical capabilities and independence. Vivistim Therapy leverages neuroplasticity – the ability of the nervous system to adapt and reorganize its connections – to improve upper limb function in patients with chronic stroke. The Vivistim System includes an implantable device that stimulates the vagus nerve only when intentionally activated, triggering the release of neuromodulators. These neuromodulators create a heightened state of plasticity in the brain, such that neural networks can more readily adapt and reform in response to stimuli. When functional movements, such as goal- or task-oriented exercises and movements, are performed in the presence of these increased neuromodulators, the brain can create new neural connections and strengthen existing connections to a degree that would otherwise not be possible, enabling lasting improvements in motor pathways and creating greater potential for recovery.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Shortly after device implantation, patients begin Vivistim Therapy with a physical or occupational therapist. This therapy does not require patient-specific programming. In the clinic, the therapist uses a remote to activate the Vivistim System during task-specific practice, such as reaching for and grasping objects. Patients continue Vivistim Therapy at home, both during their in-clinic therapy protocol and, if desired, in the months and years that follow. At home, patients easily activate stimulation sessions by swiping the Vivistim magnet over the Vivistim IPG implant site, which initiates 30 minutes of periodic stimulation pulses. Patients can perform this therapy at home or during their activities of daily living to further reinforce their neural retraining. We believe the ability for patients to observe real, tangible improvements in their ability to perform activities of daily living can encourage ongoing engagement with at-home therapy, helping patients to sustain their efforts and achieve meaningful, lasting functional improvement over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we are setting a new standard of care in chronic stroke recovery, facilitating a new treatment pathway for chronic ischemic stroke patients with moderate to severe upper extremity impairment. We believe Vivistim Therapy offers these patients a number of key benefits, including the first and only FDA-approved device clinically proven to deliver significant improvements in upper limb function; significant clinical improvement even for patients who initiate treatment many years post-stroke; durable improvements underpinned by a clinically proven mechanism of action; high patient and therapist satisfaction; and a safe and minimally invasive outpatient procedure.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building a robust body of clinical evidence supporting the safety, efficacy, durability, and well-understood mechanism of action of Vivistim Therapy, with additional trials ongoing and planned in 2026 and beyond. In our pivotal, triple-blind, randomized, sham-controlled VNS-REHAB trial, Vivistim Therapy resulted in an approximately two-times greater, as measured by Fugl-Meyer Assessment of Upper Extremity (FMA-UE), and approximately three-times greater, as measured by Wolf Motor Function Test (WMFT), improvement in hand and arm function compared to intensive rehabilitation alone, at the end of the in-clinic and at-home therapy protocol. Data from the trial also demonstrated a favorable safety profile, with no severe adverse events, serious adverse events or unanticipated adverse events associated with the Vivistim System. While implantation can result in procedure-related complications, such as post-operative pain and infection, the rate of surgical complications that did not resolve within a few weeks was less than 1% in the VNS-REHAB trial. These results highlight Vivistim Therapy’s distinctive ability to drive substantial neuroplastic adaptations and functional gains, which we believe sets it apart as the only therapy with robust clinical evidence for effective post-stroke motor recovery. Looking ahead, our GRASP registry is collecting real-world evidence to reinforce the durable benefits of Vivistim Therapy. We believe patient access is key to gaining market acceptance, and we remain committed to expanding patient access by developing additional evidence that further validates the benefits of Vivistim Therapy, accelerates market adoption, strengthens proof of its clinical utility, and supports broader reimbursement coverage decisions.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optimize our commercial model to support the adoption of Vivistim Therapy and gain further market acceptance. Our strategy is tailored to our unique patient and customer dynamics. Stroke survivors living with life-altering functional impairment can self-identify and are highly motivated to seek effective, long-lasting solutions. These patients are often supported by dedicated advocates who create a strong network of care and commitment. Our target customer base consists of a highly concentrated group of approximately 1,500 primary and comprehensive stroke centers in the United States. These stroke centers, which are typically surrounded by a network of therapy sites with neurorehabilitation capabilities, provide the infrastructure for efficient implementation of Vivistim Therapy.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novel treatment, expanding market acceptance depends in part upon our ability to educate healthcare providers and others as to the distinctive characteristics, clinical and benefits, safety, durability and ease of use of Vivistim Therapy. We believe we have implemented highly effective initiatives for generating a consistent funnel of Vivistim Therapy candidates through physician and therapist referrals, as well as direct patient engagement. Stroke survivors interact with a diverse network of care providers who help identify and evaluate candidates. We directly engage each of these stakeholders through specialized events, summits, and conferences as well as through our field-based commercial team. Our commercial organization is responsible for driving adoption of the Vivistim System through customer outreach, education, and relationship management activities. Our team includes Territory Managers (TMs), who support initial customer onboarding efforts at stroke centers and maintain commercial relationships with physicians and administrators, and Therapy Development Specialists (TDSs), who focus on outreach to therapy sites and provide general educational information regarding the clinical use of the Vivistim System. These activities are intended to facilitate customer adoption and utilization of the Vivistim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designed a differentiated, purpose-built technology uniquely engineered to enable Vivistim Therapy. The Vivistim System delivers intentional bursts of stimulation paired with salient, goal-oriented exercises—an approach clinically proven to promote neuroplasticity and improve motor recovery. This innovative therapeutic method is protected by a robust patent portfolio. Our breakthrough technology, combined with our robust intellectual property protection, creates meaningful barriers to entry and reinforces our first-mover 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 to offering life-changing treatments drives our passion for innovation through continuous research and development. We commenced development efforts in 2007 with an aim to pursue initial research from the University of Texas regarding the effects of vagus nerve stimulation. By early 2013, we began focusing on paired vagus nerve stimulation therapy for stroke recovery, working with a small team of fewer than ten engineers, clinicians and scientists. Over several years, this work led to the development and clinical testing of our Vivistim System, including through our feasibility, pilot and pivotal trials from 2014 to 2021. Following the results of our pivotal trial, we submitted a premarket approval (PMA) application to the FDA in March 2021. The Vivistim System received PMA approval from the FDA in 2021 and is classified by the FDA as a Class III device. In 2021, the Vivistim System was granted breakthrough device status under the FDA’s Breakthrough Devices Program. We aim to build upon these development efforts and leverage our internal expertise, clinical insights and experience gained from developing the Vivistim System to assess and prioritize research and development initiatives.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Vivistim System implantation procedure falls under a long-established Category 1 CPT code. Effective January 1, 2026, this CPT code was assigned to a New Technology Ambulatory Payment Classification (APC) by the Centers for Medicare and Medicaid Services (CMS), establishing an elevated payment level that we believe will support sustainable access for Medicare beneficiaries. Coverage for Vivistim Therapy varies by payor. As there are currently no national coverage determinations or local coverage determinations specific to Vivistim Therapy, coverage for Medicare fee-for-service patients is made on a case-by-case basis and patients are typically able to access Vivistim Therapy when medically necessary, without prior authorization. Currently, most commercial insurers have determined that Vivistim Therapy is experimental or investigational and therefore, not covered. To that end, commercial insurance, Medicaid and Medicare Advantage generally require prior authorization. Our in-house market access team supports providers by facilitating administrative aspects of the prior authorization process, including assisting with documentation and submissions to payors in advance of implantation. As part of our longer term strategy, our market access team plans to continue to engage with payors to communicate clinical and health economic data which may impact coverage policies. We believe that expanded payor coverage will facilitate broader patient access to Vivistim Therapy.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since our full commercial launch in 2023. We recognized revenue of $32.0 million for the year ended December 31, 2025, compared to revenue of $15.6 million for the year ended December 31, 2024, representing 104.8% year-over-year growth. For the year ended December 31, 2025, we recognized a gross margin of 81.1% and a net loss of $46.5 million, compared to a gross margin of 79.6% and a net loss of $24.6 million for the year ended December 31, 2024. As of December 31, 2025, we had an accumulated deficit of approximately $157.8 million.</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Success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the continued growth of our company will be driven by the following success factors: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First and only FDA-approved solution establishing a new standard of care in chronic stroke recovery.</w:t>
      </w:r>
      <w:r>
        <w:rPr>
          <w:color w:val="000000"/>
        </w:rPr>
        <w:t xml:space="preserve"> </w:t>
      </w:r>
      <w:r>
        <w:rPr>
          <w:rFonts w:ascii="Times New Roman;serif" w:hAnsi="Times New Roman;serif"/>
          <w:b w:val="false"/>
          <w:color w:val="000000"/>
          <w:sz w:val="20"/>
        </w:rPr>
        <w:t xml:space="preserve">We are redefining chronic stroke recovery with a novel and clinically validated therapy. Stroke impairment is one of the leading causes of serious long-term impairment for adults in the United States. While advances in acute stroke care over the past decade have significantly reduced mortality, innovation for chronic stroke recovery has lagged, resulting in a growing number of stroke survivors living with life-altering motor impairments. Conventional treatment consists of physical or occupational therapy, which is generally performed in the first three to six months following a stroke, after which it has very limited effectiveness. Thus, patients are left with few clinically proven options beyond that point. Our breakthrough Vivistim System addresses this unmet need and is the first and only FDA-approved solution for chronic ischemic stroke survivors with moderate to severe upper extremity impairments. During Vivistim Therapy, intentional bursts of stimulation are delivered during functional movement to increase neuroplasticity and durably restore motor function. Vivistim Therapy has demonstrated efficacy and durability even years after a stroke, offering hope and meaningful recovery where none existed before. For example, clinical data demonstrated meaningful improvements in upper limb function. Based on published case studies involving patients that received Vivistim Therapy, improvements in upper limb function following Vivistim Therapy can further enable patients to perform activities of daily living, such as dressing independently, preparing meals, folding laundry, and eating (Saylor A, Patrick L, Reddy CG, Gandhi R., </w:t>
      </w:r>
      <w:r>
        <w:rPr>
          <w:rFonts w:ascii="Times New Roman;serif" w:hAnsi="Times New Roman;serif"/>
          <w:b w:val="false"/>
          <w:i/>
          <w:color w:val="000000"/>
          <w:sz w:val="20"/>
        </w:rPr>
        <w:t>Vagus Nerve Stimulation Paired With Upper Extremity Rehabilitation for Chronic Stroke: Real-World Implementation and Outcomes</w:t>
      </w:r>
      <w:r>
        <w:rPr>
          <w:rFonts w:ascii="Times New Roman;serif" w:hAnsi="Times New Roman;serif"/>
          <w:b w:val="false"/>
          <w:color w:val="000000"/>
          <w:sz w:val="20"/>
        </w:rPr>
        <w:t>. Arch Rehabil Res Clin Transl. (2026)). We believe this proven therapy helps restore quality of life and sets a new standard of care in chronic stroke recovery.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Large and untapped market opportunity with significant unmet need.</w:t>
      </w:r>
      <w:r>
        <w:rPr>
          <w:color w:val="000000"/>
        </w:rPr>
        <w:t xml:space="preserve"> </w:t>
      </w:r>
      <w:r>
        <w:rPr>
          <w:rFonts w:ascii="Times New Roman;serif" w:hAnsi="Times New Roman;serif"/>
          <w:b w:val="false"/>
          <w:color w:val="000000"/>
          <w:sz w:val="20"/>
        </w:rPr>
        <w:t>Stroke is a major health burden, with someone in the United States experiencing a stroke every 40 seconds. Ischemic stroke is a leading cause of serious long-term impairment for adults in the United States and has an estimated annual healthcare burden of more than $25 billion. Nearly two-thirds of stroke survivors are left with long-term disabilities including, but not limited to, impaired motor function, speech and language difficulties, and cognitive impairments that significantly impact quality of life. We estimate there are about 9 million ischemic stroke survivors in the United States, of which more than 4 million live with moderate to severe upper extremity impairment. This population falls within the current on-label indication for the Vivistim System. We believe that our initial market opportunity comprises approximately 1 million of those survivors, which we estimate represents an initial market opportunity of over $30 billion based on the average selling price of the Vivistim System. Since Vivistim Therapy is clinically proven to be effective regardless of time since stroke, eligible Vivistim System candidates include patients who have lived with chronic stroke-related impairments for many years, as well as recent stroke survivors.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Compelling body of clinical data demonstrating the significant and sustained benefits of Vivistim Therapy. </w:t>
      </w:r>
      <w:r>
        <w:rPr>
          <w:rFonts w:ascii="Times New Roman;serif" w:hAnsi="Times New Roman;serif"/>
          <w:b w:val="false"/>
          <w:color w:val="000000"/>
          <w:sz w:val="20"/>
        </w:rPr>
        <w:t xml:space="preserve">We have built a robust body of clinical data demonstrating the safety, efficacy, durability, and well-understood mechanism of action of Vivistim Therapy and have additional studies ongoing and planned in 2026 and beyond. Our pivotal VNS-REHAB trial, a triple-blind, sham-controlled, randomized controlled trial (RCT), proved the efficacy and safety of Vivistim Therapy in ischemic stroke survivors with moderate to severe upper extremity impairment 9 months to 10 years after stroke. Published in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 xml:space="preserve">in 2021, this landmark trial showed an approximately two-times greater, as measured by FMA-UE, and approximately three-times greater, as measured by WMFT, improvement in hand and arm function compared to intensive rehabilitation alone, at the end of the in-clinic and at-home therapy protocol (Dawson, Jesse et al., </w:t>
      </w:r>
      <w:r>
        <w:rPr>
          <w:rFonts w:ascii="Times New Roman;serif" w:hAnsi="Times New Roman;serif"/>
          <w:b w:val="false"/>
          <w:i/>
          <w:color w:val="000000"/>
          <w:sz w:val="20"/>
        </w:rPr>
        <w:t>Vagus nerve stimulation paired with rehabilitation for upper limb motor function after ischaemic stroke (VNS-REHAB): a randomised, blinded, pivotal, device trial</w:t>
      </w:r>
      <w:r>
        <w:rPr>
          <w:rFonts w:ascii="Times New Roman;serif" w:hAnsi="Times New Roman;serif"/>
          <w:b w:val="false"/>
          <w:color w:val="000000"/>
          <w:sz w:val="20"/>
        </w:rPr>
        <w:t xml:space="preserve">, The Lancet, Volume 397, Issue 10284, 1545-1553 (2021)). These findings have been reinforced by subsequent publications, including a 2024 publication in </w:t>
      </w:r>
      <w:r>
        <w:rPr>
          <w:rFonts w:ascii="Times New Roman;serif" w:hAnsi="Times New Roman;serif"/>
          <w:b w:val="false"/>
          <w:i/>
          <w:color w:val="000000"/>
          <w:sz w:val="20"/>
        </w:rPr>
        <w:t>Neurorehabilitation and Neural Repair</w:t>
      </w:r>
      <w:r>
        <w:rPr>
          <w:rFonts w:ascii="Times New Roman;serif" w:hAnsi="Times New Roman;serif"/>
          <w:b w:val="false"/>
          <w:color w:val="000000"/>
          <w:sz w:val="20"/>
        </w:rPr>
        <w:t xml:space="preserve">, which confirmed consistent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outcomes across subgroups, including age, time since stroke, and baseline severity (Lin, Shiyu et al., </w:t>
      </w:r>
      <w:r>
        <w:rPr>
          <w:rFonts w:ascii="Times New Roman;serif" w:hAnsi="Times New Roman;serif"/>
          <w:b w:val="false"/>
          <w:i/>
          <w:color w:val="000000"/>
          <w:sz w:val="20"/>
        </w:rPr>
        <w:t>Vagus Nerve Stimulation Paired With Upper Extremity Rehabilitation for Chronic Ischemic Stroke: Contribution of Dosage Parameters</w:t>
      </w:r>
      <w:r>
        <w:rPr>
          <w:rFonts w:ascii="Times New Roman;serif" w:hAnsi="Times New Roman;serif"/>
          <w:b w:val="false"/>
          <w:color w:val="000000"/>
          <w:sz w:val="20"/>
        </w:rPr>
        <w:t xml:space="preserve">, Neurorehabilitation and Neural Repair, Volume 38, Issue 8, 607-615 (2024)). A 2025 publication in </w:t>
      </w:r>
      <w:r>
        <w:rPr>
          <w:rFonts w:ascii="Times New Roman;serif" w:hAnsi="Times New Roman;serif"/>
          <w:b w:val="false"/>
          <w:i/>
          <w:color w:val="000000"/>
          <w:sz w:val="20"/>
        </w:rPr>
        <w:t xml:space="preserve">Stroke </w:t>
      </w:r>
      <w:r>
        <w:rPr>
          <w:rFonts w:ascii="Times New Roman;serif" w:hAnsi="Times New Roman;serif"/>
          <w:b w:val="false"/>
          <w:color w:val="000000"/>
          <w:sz w:val="20"/>
        </w:rPr>
        <w:t xml:space="preserve">demonstrated that the functional gains were sustained at one-year follow-up (Kimberley, Teresa et al., </w:t>
      </w:r>
      <w:r>
        <w:rPr>
          <w:rFonts w:ascii="Times New Roman;serif" w:hAnsi="Times New Roman;serif"/>
          <w:b w:val="false"/>
          <w:i/>
          <w:color w:val="000000"/>
          <w:sz w:val="20"/>
        </w:rPr>
        <w:t>Long-Term Outcomes of Vagus Nerve Stimulation Paired With Upper Extremity Rehabilitation After Stroke</w:t>
      </w:r>
      <w:r>
        <w:rPr>
          <w:rFonts w:ascii="Times New Roman;serif" w:hAnsi="Times New Roman;serif"/>
          <w:b w:val="false"/>
          <w:color w:val="000000"/>
          <w:sz w:val="20"/>
        </w:rPr>
        <w:t>, Stroke, Volume 56, Number 8, 2255-2265 (2025)). Looking ahead, our GRASP registry is collecting real-world evidence to reinforce the durable benefits of Vivistim Therapy. Our strong body of clinical data demonstrates the significant safety and efficacy of Vivistim Therapy in its indication, and we remain committed to expanding our evidence base to reinforce Vivistim Therapy’s value, accelerate market adoption, and strengthen proof of its clinical utility.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Unique customer and patient dynamics to support a scalable commercial model.</w:t>
      </w:r>
      <w:r>
        <w:rPr>
          <w:color w:val="000000"/>
        </w:rPr>
        <w:t xml:space="preserve"> </w:t>
      </w:r>
      <w:r>
        <w:rPr>
          <w:rFonts w:ascii="Times New Roman;serif" w:hAnsi="Times New Roman;serif"/>
          <w:b w:val="false"/>
          <w:color w:val="000000"/>
          <w:sz w:val="20"/>
        </w:rPr>
        <w:t xml:space="preserve">Our market development and patient engagement strategy is tailored to our unique patient and customer dynamics. Stroke survivors living with life-altering functional impairment can self-identify and are highly motivated to seek effective, long-lasting solutions. These patients are often supported by dedicated advocates who create a strong network of care and commitment. Our target customer base consists of a highly concentrated group of approximately 1,500 primary and comprehensive stroke centers in the United States. These centers treat a high proportion of the stroke survivor population. In addition, according to stroke claims data from Definitive Healthcare, approximately 70% of acute strokes are seen at 900 hospitals. Additionally, these stroke centers are typically surrounded by a network of therapy sites with neurorehabilitation capabilities, providing the infrastructure necessary for efficient implementation of Vivistim Therapy. This unique market concentration sets the foundation for an efficiently scalable commercial model.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Favorable coding and payment dynamics with dedicated in-house market access team supporting patients and providers. </w:t>
      </w:r>
      <w:r>
        <w:rPr>
          <w:rFonts w:ascii="Times New Roman;serif" w:hAnsi="Times New Roman;serif"/>
          <w:b w:val="false"/>
          <w:color w:val="000000"/>
          <w:sz w:val="20"/>
        </w:rPr>
        <w:t>The Vivistim System implantation procedure falls under a long-established Category 1 CPT code. Effective January 1, 2026, this CPT code was assigned to a New Technology APC by the CMS, establishing an elevated payment level that we believe will support sustainable access for Medicare beneficiaries. Medicare fee-for-service patients can typically access Vivistim Therapy when medically necessary, without prior authorization. Commercial insurance, Medicaid and Medicare Advantage generally require prior authorization. We believe we have implemented a highly effective process to guide patients from initial consultation through implantation of the Vivistim System. Our in-house market access team supports providers by facilitating administrative aspects of the prior authorization process, including assisting with documentation and submissions to payors in advance of implantation. Beyond individual case support, our market access team proactively works to influence payor coverage decisions by utilizing our robust clinical evidence, demonstrating economic value, and leveraging endorsements from key opinion leaders. This team is central to reducing friction across the patient journey and serves as a cornerstone of our strategy to expand payor coverage, which we believe will significantly increase patient market access of Vivistim Therapy.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Differentiated purpose-built technology for Vivistim Therapy protected by robust IP portfolio.</w:t>
      </w:r>
      <w:r>
        <w:rPr>
          <w:color w:val="000000"/>
        </w:rPr>
        <w:t xml:space="preserve"> </w:t>
      </w:r>
      <w:r>
        <w:rPr>
          <w:rFonts w:ascii="Times New Roman;serif" w:hAnsi="Times New Roman;serif"/>
          <w:b w:val="false"/>
          <w:color w:val="000000"/>
          <w:sz w:val="20"/>
        </w:rPr>
        <w:t>We have designed a differentiated, purpose-built technology uniquely engineered to enable paired vagus nerve stimulation therapy. The Vivistim System delivers intentional bursts of stimulation paired with salient, goal-oriented exercises—an approach clinically proven to promote neuroplasticity and improve motor recovery. This innovative therapeutic method is protected by a robust patent portfolio. Our breakthrough technology, combined with our robust intellectual property protection, creates meaningful barriers to entry and reinforces our first-mover advantage.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Seasoned executives with extensive Med Tech commercialization expertise and a proven track record of value creation.</w:t>
      </w:r>
      <w:r>
        <w:rPr>
          <w:color w:val="000000"/>
        </w:rPr>
        <w:t xml:space="preserve"> </w:t>
      </w:r>
      <w:r>
        <w:rPr>
          <w:rFonts w:ascii="Times New Roman;serif" w:hAnsi="Times New Roman;serif"/>
          <w:b w:val="false"/>
          <w:color w:val="000000"/>
          <w:sz w:val="20"/>
        </w:rPr>
        <w:t>Our management team is comprised of seasoned executives with decades of experience across commercialization, marketing, operations, and engineering. Our leadership team has a proven track record of successfully scaling large and small businesses, both public and private, in the medical technology space. Our team understands the requirements of technological development, regulatory approval and commercial execution for new and transformative medical devices and has a history of driving rapid commercial growth. Our expertise is further strengthened by an experienced board and world-</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class investors who provide blue-chip leadership. These investors have supported the growth of numerous publicly traded companies and bring deep knowledge of medical technology and healthcare broadly.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Growth Strategies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mission is to redefine stroke recovery for survivors living with life-altering functional impairments by establishing Vivistim Therapy as the standard of care for chronic stroke. The key elements of our growth strategy include: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Expand our market development efforts to broaden awareness and access to Vivistim Therapy. </w:t>
      </w:r>
      <w:r>
        <w:rPr>
          <w:rFonts w:ascii="Times New Roman;serif" w:hAnsi="Times New Roman;serif"/>
          <w:b w:val="false"/>
          <w:color w:val="000000"/>
          <w:sz w:val="20"/>
        </w:rPr>
        <w:t>Since our commercial launch, we have continuously developed and refined the optimal commercial model to support the adoption of Vivistim Therapy and have established a methodical approach to market development across the key stakeholders in stroke recovery. Through our comprehensive Vivistim Therapy program, we educate providers on how to identify, screen, refer and treat stroke survivors, and work closely with hospitals to incorporate Vivistim Therapy as a treatment option. We plan to build on this foundation of commercial learning to accelerate adoption nationwide by activating Vivistim Therapy initiatives at stroke centers and therapy sites while deepening engagement within existing accounts. To broaden geographic reach and drive penetration, we will strategically expand our commercial organization and territory coverage by adding highly qualified personnel. By scaling our skilled direct sales force, we believe we can significantly increase access to Vivistim Therapy and deliver meaningful impact to patients nationwide.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Driving utilization of Vivistim Therapy by promoting awareness among patients, caregivers and healthcare providers.</w:t>
      </w:r>
      <w:r>
        <w:rPr>
          <w:color w:val="000000"/>
        </w:rPr>
        <w:t xml:space="preserve"> </w:t>
      </w:r>
      <w:r>
        <w:rPr>
          <w:rFonts w:ascii="Times New Roman;serif" w:hAnsi="Times New Roman;serif"/>
          <w:b w:val="false"/>
          <w:color w:val="000000"/>
          <w:sz w:val="20"/>
        </w:rPr>
        <w:t xml:space="preserve">We have developed highly effective initiatives for generating a consistent funnel of Vivistim Therapy candidates from three primary sources: physician referrals, therapist referrals, and direct patient engagement. Stroke survivors interact with a diverse network of care providers, including stroke interventionalists, neurosurgeons, neurologists, physical medicine and rehabilitation physicians, occupational and physical therapists, stroke coordinators and nurses. Each of these providers can play a role in identifying and evaluating potential Vivistim Therapy candidates. We directly engage each of these stakeholders through our field-based commercial team, as well as through specialized events, summits, and conferences. In each geography, our teams also work to establish strong referral patterns between these providers to ensure that potential candidates can be efficiently evaluated and receive Vivistim Therapy. Additionally, since stroke survivors and their caregivers are a highly motivated population, we engage in direct patient education activities. These initiatives include patient webinars, outreach through support groups, digital advertising, and other targeted activities. We believe that as Vivistim Therapy awareness and utilization increases, stroke centers will naturally integrate Vivistim Therapy into standard care pathways for stroke survivors upon discharge and establish self-sustaining care programs that use Vivistim Therapy over time.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Building upon our strong base of clinical evidence to support adoption and expand payor coverage.</w:t>
      </w:r>
      <w:r>
        <w:rPr>
          <w:color w:val="000000"/>
        </w:rPr>
        <w:t xml:space="preserve"> </w:t>
      </w:r>
      <w:r>
        <w:rPr>
          <w:rFonts w:ascii="Times New Roman;serif" w:hAnsi="Times New Roman;serif"/>
          <w:b w:val="false"/>
          <w:color w:val="000000"/>
          <w:sz w:val="20"/>
        </w:rPr>
        <w:t>We have built, and remain committed to expanding, a robust body of clinical evidence demonstrating the safety, efficacy and durability of Vivistim Therapy. We are actively enrolling patients in our GRASP registry, a real-world study generating evidence of the therapy’s significant and sustained benefits. We plan to publish 12-, 24-, and 36-month outcomes, supporting a steady cadence of publications. Our market access team works to ensure that this growing body of clinical data, along with the therapy’s health economic benefits, and strong support from key opinion leaders, is communicated effectively to payors to inform positive coverage decisions. We believe that expanding payor coverage will be a key driver of increased utilization and improved access for stroke survivors living with life-altering impairments.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Investing in research and development to drive continuous innovation, better outcomes, and improved user experience.</w:t>
      </w:r>
      <w:r>
        <w:rPr>
          <w:color w:val="000000"/>
        </w:rPr>
        <w:t xml:space="preserve"> </w:t>
      </w:r>
      <w:r>
        <w:rPr>
          <w:rFonts w:ascii="Times New Roman;serif" w:hAnsi="Times New Roman;serif"/>
          <w:b w:val="false"/>
          <w:color w:val="000000"/>
          <w:sz w:val="20"/>
        </w:rPr>
        <w:t>Our commitment to offering life-changing treatments for stroke survivors drives our passion for innovation through continuous research and development. We intend to invest in existing and next-generation technologies to further improve our products and clinical outcomes, optimize patient experience, increase utilization, and increase patient engagement. Our near-term research and development activities are primarily directed toward continued technological advancement of the Vivistim System, and development of a next-generation Vivistim System with enhanced features.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Expanding clinical indications to benefit a broader patient population.</w:t>
      </w:r>
      <w:r>
        <w:rPr>
          <w:color w:val="000000"/>
        </w:rPr>
        <w:t xml:space="preserve"> </w:t>
      </w:r>
      <w:r>
        <w:rPr>
          <w:rFonts w:ascii="Times New Roman;serif" w:hAnsi="Times New Roman;serif"/>
          <w:b w:val="false"/>
          <w:color w:val="000000"/>
          <w:sz w:val="20"/>
        </w:rPr>
        <w:t xml:space="preserve">With its unique and clinically validated mechanism of action, we believe Vivistim Therapy has the potential to address additional clinical indications within stroke recovery. We are committed to better serving this population by exploring expansions into other functional impairments (e.g., lower limb) or stroke etiologies (e.g., intracerebral hemorrhage).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Continue to evaluate expansion into geographies outside of the United States.</w:t>
      </w:r>
      <w:r>
        <w:rPr>
          <w:color w:val="000000"/>
        </w:rPr>
        <w:t xml:space="preserve"> </w:t>
      </w:r>
      <w:r>
        <w:rPr>
          <w:rFonts w:ascii="Times New Roman;serif" w:hAnsi="Times New Roman;serif"/>
          <w:b w:val="false"/>
          <w:color w:val="000000"/>
          <w:sz w:val="20"/>
        </w:rPr>
        <w:t>While our current commercial efforts are focused on the significant opportunity nationwide, we will continue to evaluate expansion into select geographies outside the United States. Over time, we intend to strategically invest in markets with a high stroke burden and favorable commercial dynamics, enabling patients worldwide to benefit from Vivistim Therapy.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of Chronic Stroke Impairment </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Stroke occurs when blood flow to a region of the brain is suddenly interrupted, either because an artery becomes blocked in the case of an ischemic stroke, or because a weakened blood vessel ruptures in the case of a hemorrhagic stroke. </w:t>
      </w:r>
      <w:r>
        <w:rPr>
          <w:rFonts w:ascii="Times New Roman;serif" w:hAnsi="Times New Roman;serif"/>
          <w:b w:val="false"/>
          <w:color w:val="000000"/>
          <w:sz w:val="20"/>
        </w:rPr>
        <w:t xml:space="preserve">The leading causes of stroke are high blood pressure, high cholesterol, and certain lifestyle choices. </w:t>
      </w:r>
      <w:r>
        <w:rPr>
          <w:rFonts w:ascii="Times New Roman;serif" w:hAnsi="Times New Roman;serif"/>
          <w:b w:val="false"/>
          <w:color w:val="000000"/>
          <w:sz w:val="20"/>
          <w:shd w:fill="FFFFFF" w:val="clear"/>
        </w:rPr>
        <w:t xml:space="preserve">A stroke deprives brain cells of oxygen, and they begin to die within minutes. Every second without oxygen can lead to serious brain damage, long-term disability, or death if not treated promptly. For survivors, the interruption of blood flow to the brain can result in lasting motor, cognitive, visual, and language impairments, including weakness or hemiparesis affecting the extremities. In the United States, a stroke occurs every 40 seconds, and approximately 800,000 strokes occur annually, according to a report published by the AHA in 2025. Based on the same report, we estimate that there are approximately 10 million stroke survivors in the United States, the majority of whom are living with chronic impairments.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Chronic ischemic stroke is a serious medical condition characterized by physical and cognitive impairments that persist beyond the first three to six months post-stroke. The first three to six months after a stroke are commonly referred to as the sub-acute phase. These impairments can materially diminish a patient’s independence and quality of life. According to a report published by the AHA in 2025, ischemic stroke is a leading cause of serious long-term impairment for adults in the United States and has an estimated annual healthcare burden of more than $25 billion.</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While advancements in acute stroke care have helped to significantly reduce the stroke mortality rate in the United States over time, effective therapeutic options for post-stroke recovery have not advanced, and there is no standard of care for motor recovery in the chronic stage of stroke. The standard of care for post-stroke recovery in the sub-acute phase consists of several weeks or months of conventional occupational or physical rehabilitation therapy, although many patients do not receive any rehabilitation therapy at all due to lack of access or motivation. While stroke patients can, and often do, make some physical and cognitive improvements during the acute and sub-acute phases when neuroplasticity is the highest, a substantial proportion of patients continue living with long-term motor impairments and associated complications. We believe there is limited data demonstrating the clinical efficacy of conventional rehabilitation therapy beyond the sub-acute phase, leaving many patients with chronic deficits in functionality </w:t>
      </w:r>
      <w:r>
        <w:rPr>
          <w:rFonts w:ascii="Times New Roman;serif" w:hAnsi="Times New Roman;serif"/>
          <w:b w:val="false"/>
          <w:color w:val="000000"/>
          <w:sz w:val="20"/>
        </w:rPr>
        <w:t xml:space="preserve">(Grefkes, C. and Fink, G.R., </w:t>
      </w:r>
      <w:r>
        <w:rPr>
          <w:rFonts w:ascii="Times New Roman;serif" w:hAnsi="Times New Roman;serif"/>
          <w:b w:val="false"/>
          <w:i/>
          <w:color w:val="000000"/>
          <w:sz w:val="20"/>
        </w:rPr>
        <w:t>Recovery from stroke: current concepts and future perspectives</w:t>
      </w:r>
      <w:r>
        <w:rPr>
          <w:rFonts w:ascii="Times New Roman;serif" w:hAnsi="Times New Roman;serif"/>
          <w:b w:val="false"/>
          <w:color w:val="000000"/>
          <w:sz w:val="20"/>
        </w:rPr>
        <w:t xml:space="preserve">, Neurological Research and Practice, Volume 2, Number 17 (2020)). In addition, we believe </w:t>
      </w:r>
      <w:r>
        <w:rPr>
          <w:rFonts w:ascii="Times New Roman;serif" w:hAnsi="Times New Roman;serif"/>
          <w:b w:val="false"/>
          <w:color w:val="000000"/>
          <w:sz w:val="20"/>
          <w:shd w:fill="FFFFFF" w:val="clear"/>
        </w:rPr>
        <w:t>conventional rehabilitation therapy has experienced limited adoption or continuation in the chronic phase. O</w:t>
      </w:r>
      <w:r>
        <w:rPr>
          <w:rFonts w:ascii="Times New Roman;serif" w:hAnsi="Times New Roman;serif"/>
          <w:b w:val="false"/>
          <w:color w:val="000000"/>
          <w:sz w:val="20"/>
        </w:rPr>
        <w:t xml:space="preserve">ne study published in </w:t>
      </w:r>
      <w:r>
        <w:rPr>
          <w:rFonts w:ascii="Times New Roman;serif" w:hAnsi="Times New Roman;serif"/>
          <w:b w:val="false"/>
          <w:i/>
          <w:color w:val="000000"/>
          <w:sz w:val="20"/>
        </w:rPr>
        <w:t xml:space="preserve">Stroke </w:t>
      </w:r>
      <w:r>
        <w:rPr>
          <w:rFonts w:ascii="Times New Roman;serif" w:hAnsi="Times New Roman;serif"/>
          <w:b w:val="false"/>
          <w:color w:val="000000"/>
          <w:sz w:val="20"/>
        </w:rPr>
        <w:t xml:space="preserve">in 2023 concluded that the delivery rate of such therapy during the first year following a stroke is low and decreases over time, with 51% of patients receiving conventional occupational therapy during the first three months following a stroke and 21% of patients receiving such therapy during the three to six months following a stroke (Young, Bittany et al., </w:t>
      </w:r>
      <w:r>
        <w:rPr>
          <w:rFonts w:ascii="Times New Roman;serif" w:hAnsi="Times New Roman;serif"/>
          <w:b w:val="false"/>
          <w:i/>
          <w:color w:val="000000"/>
          <w:sz w:val="20"/>
        </w:rPr>
        <w:t>Rehabilitation Therapy Doses Are Low After Stroke and Predicted by Clinical Factors</w:t>
      </w:r>
      <w:r>
        <w:rPr>
          <w:rFonts w:ascii="Times New Roman;serif" w:hAnsi="Times New Roman;serif"/>
          <w:b w:val="false"/>
          <w:color w:val="000000"/>
          <w:sz w:val="20"/>
        </w:rPr>
        <w:t>, Stroke, Volume 54, Number 3, 831-839 (2023)). In the same study, approximately one third of stroke patients received no therapy in the year following a stroke. As such, we believe</w:t>
      </w:r>
      <w:r>
        <w:rPr>
          <w:color w:val="000000"/>
          <w:shd w:fill="FFFFFF" w:val="clear"/>
        </w:rPr>
        <w:t xml:space="preserve"> </w:t>
      </w:r>
      <w:r>
        <w:rPr>
          <w:rFonts w:ascii="Times New Roman;serif" w:hAnsi="Times New Roman;serif"/>
          <w:b w:val="false"/>
          <w:color w:val="000000"/>
          <w:sz w:val="20"/>
          <w:shd w:fill="FFFFFF" w:val="clear"/>
        </w:rPr>
        <w:t xml:space="preserve">these patients have generally not had an effective therapeutic option for continued recovery.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Chronic Upper Extremity Impairment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Chronic upper extremity impairment is among the most common and disabling consequences of stroke, with millions of survivors experiencing weakness, loss of coordination, reduced dexterity, and impaired function in the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arm and hand, persisting for more than three to six months post-stroke.</w:t>
      </w:r>
      <w:r>
        <w:rPr>
          <w:color w:val="000000"/>
        </w:rPr>
        <w:t xml:space="preserve"> </w:t>
      </w:r>
      <w:r>
        <w:rPr>
          <w:rFonts w:ascii="Times New Roman;serif" w:hAnsi="Times New Roman;serif"/>
          <w:b w:val="false"/>
          <w:color w:val="000000"/>
          <w:sz w:val="20"/>
          <w:shd w:fill="FFFFFF" w:val="clear"/>
        </w:rPr>
        <w:t xml:space="preserve">These impairments significantly limit the patients’ ability to perform activities of daily living, such as eating, dressing, bathing, and personal care, can impede a survivor’s ability to return to their profession, and can have a profound impact on functional independence and quality of life.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Market Opportunity </w:t>
      </w:r>
    </w:p>
    <w:p>
      <w:pPr>
        <w:pStyle w:val="TextBody"/>
        <w:bidi w:val="0"/>
        <w:spacing w:lineRule="auto" w:line="288" w:before="0" w:after="180"/>
        <w:jc w:val="left"/>
        <w:rPr/>
      </w:pPr>
      <w:r>
        <w:rPr>
          <w:rFonts w:ascii="Times New Roman;serif" w:hAnsi="Times New Roman;serif"/>
          <w:b w:val="false"/>
          <w:color w:val="000000"/>
          <w:sz w:val="20"/>
        </w:rPr>
        <w:t>Based on a report published by the AHA in 2025, we estimate that there are currently approximately 10 million stroke survivors in the United States. According to the AHA, approximately 87% of strokes are ischemic. This equates to approximately 9 million ischemic stroke survivors in the United States. Based on our analysis of third party publications, we estimate that more than 4 million of these survivors are chronic ischemic stroke survivors living with moderate to severe upper extremity impairment. For example, according to several third-party publications, up to two-thirds of stroke survivors continue to experience upper extremity disability at six months post-stroke (</w:t>
      </w:r>
      <w:r>
        <w:rPr>
          <w:rFonts w:ascii="Times New Roman;serif" w:hAnsi="Times New Roman;serif"/>
          <w:b w:val="false"/>
          <w:i/>
          <w:color w:val="000000"/>
          <w:sz w:val="20"/>
        </w:rPr>
        <w:t>e.g.</w:t>
      </w:r>
      <w:r>
        <w:rPr>
          <w:rFonts w:ascii="Times New Roman;serif" w:hAnsi="Times New Roman;serif"/>
          <w:b w:val="false"/>
          <w:color w:val="000000"/>
          <w:sz w:val="20"/>
        </w:rPr>
        <w:t xml:space="preserve">, Lang CE, et al., </w:t>
      </w:r>
      <w:r>
        <w:rPr>
          <w:rFonts w:ascii="Times New Roman;serif" w:hAnsi="Times New Roman;serif"/>
          <w:b w:val="false"/>
          <w:i/>
          <w:color w:val="000000"/>
          <w:sz w:val="20"/>
        </w:rPr>
        <w:t>Observation of amounts of movement practice provided during stroke rehabilitation</w:t>
      </w:r>
      <w:r>
        <w:rPr>
          <w:rFonts w:ascii="Times New Roman;serif" w:hAnsi="Times New Roman;serif"/>
          <w:b w:val="false"/>
          <w:color w:val="000000"/>
          <w:sz w:val="20"/>
        </w:rPr>
        <w:t xml:space="preserve">, Arch Phys Med Rehabil. 2009 Oct;90(10):1692-8; and Kwakkel G, Kollen BJ, van der Grond J, Prevo AJ., </w:t>
      </w:r>
      <w:r>
        <w:rPr>
          <w:rFonts w:ascii="Times New Roman;serif" w:hAnsi="Times New Roman;serif"/>
          <w:b w:val="false"/>
          <w:i/>
          <w:color w:val="000000"/>
          <w:sz w:val="20"/>
        </w:rPr>
        <w:t>Probability of regaining dexterity in the flaccid upper limb: impact of severity of paresis and time since onset in acute stroke</w:t>
      </w:r>
      <w:r>
        <w:rPr>
          <w:rFonts w:ascii="Times New Roman;serif" w:hAnsi="Times New Roman;serif"/>
          <w:b w:val="false"/>
          <w:color w:val="000000"/>
          <w:sz w:val="20"/>
        </w:rPr>
        <w:t xml:space="preserve">, Stroke, Volume 34, Number 9, 2181-6 (2003), and approximately 81% of stroke survivors with upper extremity disability after six months post-stroke have moderate to severe upper extremity impairment (Woytowicz E, et al., </w:t>
      </w:r>
      <w:r>
        <w:rPr>
          <w:rFonts w:ascii="Times New Roman;serif" w:hAnsi="Times New Roman;serif"/>
          <w:b w:val="false"/>
          <w:i/>
          <w:color w:val="000000"/>
          <w:sz w:val="20"/>
        </w:rPr>
        <w:t>Determining Levels of Upper Extremity Movement Impairment by Applying a Cluster Analysis to the Fugl-Meyer Assessment of the Upper Extremity in Chronic Stroke</w:t>
      </w:r>
      <w:r>
        <w:rPr>
          <w:rFonts w:ascii="Times New Roman;serif" w:hAnsi="Times New Roman;serif"/>
          <w:b w:val="false"/>
          <w:color w:val="000000"/>
          <w:sz w:val="20"/>
        </w:rPr>
        <w:t>, Archives of Physical Medicine and Rehabilitation, 2016; 98, 456-462). We expect this large prevalence population to continue to grow over time, driven by, among others, increasing stroke survival rates due to improvements in acute thrombectomy therapies and increasing stroke incidence rates among young adults.</w:t>
      </w:r>
      <w:r>
        <w:rPr>
          <w:color w:val="000000"/>
        </w:rPr>
        <w:t xml:space="preserve"> </w:t>
      </w:r>
    </w:p>
    <w:p>
      <w:pPr>
        <w:pStyle w:val="TextBody"/>
        <w:bidi w:val="0"/>
        <w:spacing w:lineRule="auto" w:line="288" w:before="0" w:after="180"/>
        <w:jc w:val="left"/>
        <w:rPr/>
      </w:pPr>
      <w:r>
        <w:rPr>
          <w:rFonts w:ascii="Times New Roman;serif" w:hAnsi="Times New Roman;serif"/>
          <w:b w:val="false"/>
          <w:color w:val="000000"/>
          <w:sz w:val="20"/>
        </w:rPr>
        <w:t xml:space="preserve">Based on our FDA-approved, on-label indication for the Vivistim System, we estimate that our total addressable market opportunity in the United States consists of the approximately 4 million chronic ischemic stroke survivors living with moderate to severe upper extremity impairment. While we are pursuing this total addressable market, we believe an initial market opportunity comprises stroke survivors that demonstrate the requisite overall health, cognition and motivation to participate in therapy and have received some amount of post-stroke therapy. According to the AHA, two-thirds of stroke survivors receive rehabilitation therapy following a stroke. This rate of therapy generally decreases over time, with one study published in </w:t>
      </w:r>
      <w:r>
        <w:rPr>
          <w:rFonts w:ascii="Times New Roman;serif" w:hAnsi="Times New Roman;serif"/>
          <w:b w:val="false"/>
          <w:i/>
          <w:color w:val="000000"/>
          <w:sz w:val="20"/>
        </w:rPr>
        <w:t>Stroke</w:t>
      </w:r>
      <w:r>
        <w:rPr>
          <w:color w:val="000000"/>
        </w:rPr>
        <w:t xml:space="preserve"> </w:t>
      </w:r>
      <w:r>
        <w:rPr>
          <w:rFonts w:ascii="Times New Roman;serif" w:hAnsi="Times New Roman;serif"/>
          <w:b w:val="false"/>
          <w:color w:val="000000"/>
          <w:sz w:val="20"/>
        </w:rPr>
        <w:t xml:space="preserve">in 2023 concluding that the rate of conventional occupational therapy decreases to 21% in the three to six months following a stroke (Young, Bittany et al., </w:t>
      </w:r>
      <w:r>
        <w:rPr>
          <w:rFonts w:ascii="Times New Roman;serif" w:hAnsi="Times New Roman;serif"/>
          <w:b w:val="false"/>
          <w:i/>
          <w:color w:val="000000"/>
          <w:sz w:val="20"/>
        </w:rPr>
        <w:t>Rehabilitation Therapy Doses Are Low After Stroke and Predicted by Clinical Factors</w:t>
      </w:r>
      <w:r>
        <w:rPr>
          <w:rFonts w:ascii="Times New Roman;serif" w:hAnsi="Times New Roman;serif"/>
          <w:b w:val="false"/>
          <w:color w:val="000000"/>
          <w:sz w:val="20"/>
        </w:rPr>
        <w:t xml:space="preserve">, Stroke, Volume 54, Number 3, 831-839 (2023)). Based on these patient factors and post-stroke therapy rates, we estimate that this initial market opportunity comprises approximately 1 million stroke survivors within our total addressable market. We believe this patient population represents an initial market opportunity of over $30 billion based on the average selling price of the Vivistim System.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Vivistim Therapy has demonstrated meaningful clinical improvements in upper extremity function independent of the time elapsed since stroke. As such, Vivistim Therapy is appropriate for patients who initiate treatment many years post-stroke as well as more recent stroke survivors.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our initial focus is on ischemic stroke survivors with moderate to severe upper extremity impairment within the United States due to the large unmet need and prevalence pool, we believe our technology is well-suited to address additional indications within stroke, including but not limited to lower extremity impairment and chronic hemorrhagic stroke. We expect to explore targeted indication and geographic expansion opportunities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share we ultimately achieve is subject to a number of assumptions, risks and uncertainties, including the market acceptance of Vivistim Therapy and our ability to execute on our commercial strategy. As a novel treatment, market acceptance depends, in part, on our ability to raise awareness, the adoption of Vivistim Therapy by hospitals, healthcare providers, therapists, patients, caregivers and adequate payor coverage and reimbursement, and the acceptance of Vivistim Therapy as safe, effective and cost-effective. We may be unsuccessful in attaining significant market acceptance or such acceptance may take longer or be more costly than anticipated. For more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information, please see the section titled “</w:t>
      </w:r>
      <w:r>
        <w:rPr>
          <w:rFonts w:ascii="Times New Roman;serif" w:hAnsi="Times New Roman;serif"/>
          <w:b w:val="false"/>
          <w:i/>
          <w:color w:val="000000"/>
          <w:sz w:val="20"/>
        </w:rPr>
        <w:t>Risk Factors — Risks Related to Our Business and Industry — The commercial success of Vivistim Therapy depends upon attaining significant market acceptance of our products by hospitals, healthcare providers, therapists, patients, caregivers and payors” and “ — The size of our market opportunity has not been established with precision and may be smaller than we estimate, possibly materially.</w:t>
      </w:r>
      <w:r>
        <w:rPr>
          <w:color w:val="00000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Patient Journey: Conventional Rehabilitation during the Sub-Acute Phase </w:t>
      </w:r>
    </w:p>
    <w:p>
      <w:pPr>
        <w:pStyle w:val="TextBody"/>
        <w:bidi w:val="0"/>
        <w:spacing w:lineRule="auto" w:line="288" w:before="0" w:after="180"/>
        <w:jc w:val="left"/>
        <w:rPr/>
      </w:pPr>
      <w:r>
        <w:rPr>
          <w:rFonts w:ascii="Times New Roman;serif" w:hAnsi="Times New Roman;serif"/>
          <w:b w:val="false"/>
          <w:color w:val="000000"/>
          <w:sz w:val="20"/>
          <w:shd w:fill="FFFFFF" w:val="clear"/>
        </w:rPr>
        <w:t>For stroke survivors who are discharged home with moderate to severe upper extremity impairment, the standard of care for rehabilitation during the sub-acute phase involves physical and/or occupational therapy several times per week, generally for several weeks or months. However, many patients do not receive any rehabilitation therapy due to lack of access, poor care coordination, or lack of social support. Conventional rehabilitation programs are generally delivered during the first several weeks to months after a stroke when neuroplasticity is highest and functional gains are the most achievable.</w:t>
      </w:r>
      <w:r>
        <w:rPr>
          <w:color w:val="000000"/>
        </w:rPr>
        <w:t xml:space="preserve"> </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Physical therapy </w:t>
      </w:r>
      <w:r>
        <w:rPr>
          <w:rFonts w:ascii="Times New Roman;serif" w:hAnsi="Times New Roman;serif"/>
          <w:b w:val="false"/>
          <w:color w:val="000000"/>
          <w:sz w:val="20"/>
        </w:rPr>
        <w:t xml:space="preserve">aims to improve gross motor skills (e.g., stretching to improve arm movement), while occupational therapy aims to improve fine motor skills, like those associated with activities of daily living such as bathing and eating. </w:t>
      </w:r>
      <w:r>
        <w:rPr>
          <w:rFonts w:ascii="Times New Roman;serif" w:hAnsi="Times New Roman;serif"/>
          <w:b w:val="false"/>
          <w:color w:val="000000"/>
          <w:sz w:val="20"/>
          <w:shd w:fill="FFFFFF" w:val="clear"/>
        </w:rPr>
        <w:t xml:space="preserve">Many patients undergo a combination of both physical and occupational therapy. </w:t>
      </w:r>
    </w:p>
    <w:p>
      <w:pPr>
        <w:pStyle w:val="TextBody"/>
        <w:bidi w:val="0"/>
        <w:spacing w:lineRule="auto" w:line="288" w:before="0" w:after="180"/>
        <w:jc w:val="left"/>
        <w:rPr/>
      </w:pPr>
      <w:r>
        <w:rPr>
          <w:rFonts w:ascii="Times New Roman;serif" w:hAnsi="Times New Roman;serif"/>
          <w:b w:val="false"/>
          <w:color w:val="000000"/>
          <w:sz w:val="20"/>
        </w:rPr>
        <w:t>During the sub-acute phase, patients may also explore other rehabilitation techniques including but not limited to: neurological rehabilitation therapy, which involves practicing everyday activities (e.g., cutting a banana or folding cloths)</w:t>
      </w:r>
      <w:r>
        <w:rPr>
          <w:rFonts w:ascii="Times New Roman;serif" w:hAnsi="Times New Roman;serif"/>
          <w:b w:val="false"/>
          <w:color w:val="000000"/>
          <w:sz w:val="20"/>
          <w:shd w:fill="FFFFFF" w:val="clear"/>
        </w:rPr>
        <w:t>; Constraint-Induced Movement therapy, which focuses</w:t>
      </w:r>
      <w:r>
        <w:rPr>
          <w:color w:val="000000"/>
        </w:rPr>
        <w:t xml:space="preserve"> </w:t>
      </w:r>
      <w:r>
        <w:rPr>
          <w:rFonts w:ascii="Times New Roman;serif" w:hAnsi="Times New Roman;serif"/>
          <w:b w:val="false"/>
          <w:color w:val="000000"/>
          <w:sz w:val="20"/>
        </w:rPr>
        <w:t>on constraining the non-affected side from moving</w:t>
      </w:r>
      <w:r>
        <w:rPr>
          <w:rFonts w:ascii="Times New Roman;serif" w:hAnsi="Times New Roman;serif"/>
          <w:b w:val="false"/>
          <w:color w:val="000000"/>
          <w:sz w:val="20"/>
          <w:shd w:fill="FFFFFF" w:val="clear"/>
        </w:rPr>
        <w:t>; and Mental Practice, where patients</w:t>
      </w:r>
      <w:r>
        <w:rPr>
          <w:color w:val="000000"/>
        </w:rPr>
        <w:t xml:space="preserve"> </w:t>
      </w:r>
      <w:r>
        <w:rPr>
          <w:rFonts w:ascii="Times New Roman;serif" w:hAnsi="Times New Roman;serif"/>
          <w:b w:val="false"/>
          <w:color w:val="000000"/>
          <w:sz w:val="20"/>
        </w:rPr>
        <w:t>mentally rehearse a physical movement or task without actually performing it. Although alternative therapy delivery methods such as virtual reality or video games may be helpful for increasing the amount of movement practice a patient undergoes, there is limited and low-quality clinical evidence about their benefits. Assistive tools – such as splints, braces, muscle stimulators, have been used in conjunction with therapy and adaptive equipment (e.g., one handed kitchen tools), may also be used to help patients compensate for their impairments. Importantly, while these adjunctive therapies can help improve a patient’s ability to participate in therapy during the sub-acute phase, they have not been clinically proven to provide meaningful functional gains in the chronic phase.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Lack of Effective Treatments for Chronic Upper Extremity Impairments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is no standard of care for motor recovery in the chronic stage of stroke. After the initial three- to six-month period post-stroke, patients typically reach a functional plateau with conventional physical rehabilitation and have limited options to continue improving their recovery. As a result, we believe that there is a large population of highly motivated stroke survivors who have few proven options. The image below presents an overview of the patient journey and conventional rehabilitation windows through the acute, sub-acute and chronic phases.</w:t>
      </w:r>
    </w:p>
    <w:p>
      <w:pPr>
        <w:pStyle w:val="TextBody"/>
        <w:bidi w:val="0"/>
        <w:spacing w:before="0" w:after="180"/>
        <w:jc w:val="center"/>
        <w:rPr/>
      </w:pPr>
      <w:r>
        <w:rPr/>
        <w:drawing>
          <wp:inline distT="0" distB="0" distL="0" distR="0">
            <wp:extent cx="5715000" cy="2181225"/>
            <wp:effectExtent l="0" t="0" r="0" b="0"/>
            <wp:docPr id="1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 descr=""/>
                    <pic:cNvPicPr>
                      <a:picLocks noChangeAspect="1" noChangeArrowheads="1"/>
                    </pic:cNvPicPr>
                  </pic:nvPicPr>
                  <pic:blipFill>
                    <a:blip r:embed="rId4"/>
                    <a:stretch>
                      <a:fillRect/>
                    </a:stretch>
                  </pic:blipFill>
                  <pic:spPr bwMode="auto">
                    <a:xfrm>
                      <a:off x="0" y="0"/>
                      <a:ext cx="5715000" cy="2181225"/>
                    </a:xfrm>
                    <a:prstGeom prst="rect">
                      <a:avLst/>
                    </a:prstGeom>
                  </pic:spPr>
                </pic:pic>
              </a:graphicData>
            </a:graphic>
          </wp:inline>
        </w:drawing>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Given the lack of therapies that are clinically proven to improve motor function in the chronic phase of recovery, there is a compelling need for a scalable and clinically validated solution that delivers measurable functional gains and improves quality of life for these highly motivated patients that are actively seeking a solution.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breakthrough Vivistim System is the first and only FDA-approved solution for chronic ischemic stroke survivors with moderate to severe upper extremity impairments. The Vivistim System facilitates Vivistim Therapy, which has been clinically proven to significantly improve upper limb function and help patients regain critical capabilities and independence. Vivistim Therapy leverages neuroplasticity – the ability of the nervous system to adapt and reorganize its connections – to improve upper limb function in patients with chronic stroke. The Vivistim System includes an implantable device that stimulates the vagus nerve only when intentionally activated, triggering the release of neuromodulators, including acetylcholine, norepinephrine, and serotonin. These neuromodulators create a heightened state of plasticity in the brain, such that neural networks can more readily adapt and reform in response to stimuli. When functional movements, such as goal- or task-oriented exercises and movements, are performed in the presence of these increased neuromodulators, the brain can create new neural connections and strengthen existing connections to a degree that would otherwise not be possible, enabling lasting improvements in motor pathways and creating greater potential for recovery. The image below provides an overview of the mechanism of action of Vivistim Therapy. </w:t>
      </w:r>
    </w:p>
    <w:p>
      <w:pPr>
        <w:pStyle w:val="TextBody"/>
        <w:bidi w:val="0"/>
        <w:spacing w:before="0" w:after="180"/>
        <w:jc w:val="center"/>
        <w:rPr/>
      </w:pPr>
      <w:r>
        <w:rPr/>
        <w:drawing>
          <wp:inline distT="0" distB="0" distL="0" distR="0">
            <wp:extent cx="5715000" cy="2600325"/>
            <wp:effectExtent l="0" t="0" r="0" b="0"/>
            <wp:docPr id="1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 descr=""/>
                    <pic:cNvPicPr>
                      <a:picLocks noChangeAspect="1" noChangeArrowheads="1"/>
                    </pic:cNvPicPr>
                  </pic:nvPicPr>
                  <pic:blipFill>
                    <a:blip r:embed="rId5"/>
                    <a:stretch>
                      <a:fillRect/>
                    </a:stretch>
                  </pic:blipFill>
                  <pic:spPr bwMode="auto">
                    <a:xfrm>
                      <a:off x="0" y="0"/>
                      <a:ext cx="5715000" cy="2600325"/>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Vivistim System received PMA approval from the FDA in 2021 to reduce upper extremity motor deficits and improve motor function in chronic ischemic stroke patients with moderate to severe upper extremity impairments. Moderate to severe upper extremity impairment can be classified based on a clinical evaluation or functional assessment, such as the FMA-UE. FMA-UE scores can range from 0 (most impairment) to 66 (no impairment), and scores between 15 and 55 generally correspond to moderate to severe impairment. The system is classified by the FDA as a Class III device. Class III devices require approval of a PMA and are devices deemed by the FDA to pose the greatest risks, such as implantable devices, devices that have a new intended use, or devices that use advanced technology that is not substantially equivalent to that of a legally marketed device. </w:t>
      </w:r>
    </w:p>
    <w:p>
      <w:pPr>
        <w:pStyle w:val="TextBody"/>
        <w:bidi w:val="0"/>
        <w:spacing w:lineRule="auto" w:line="288" w:before="0" w:after="180"/>
        <w:jc w:val="left"/>
        <w:rPr/>
      </w:pPr>
      <w:r>
        <w:rPr>
          <w:rFonts w:ascii="Times New Roman;serif" w:hAnsi="Times New Roman;serif"/>
          <w:b w:val="false"/>
          <w:color w:val="000000"/>
          <w:sz w:val="20"/>
        </w:rPr>
        <w:t xml:space="preserve">The Vivistim System was granted breakthrough device status under the FDA’s Breakthrough Devices Program in 2021, because it is intended to provide more effective treatment of a life-threatening or irreversibly debilitating condition. The FDA implemented the Breakthrough Devices Program to provide patients and health care providers with more timely access to qualifying devices by expediting their development, assessment, and review, while preserving the statutory standards for PMA approval, 510(k) clearance, and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The program is available for medical devices that meet certain eligibility criteria, including that the device provides more effective treatment or diagnosis of life-threatening or irreversibly debilitating diseases or conditions.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more information, please see the section titled “— Government Regulation” for a discussion on the FDA’s classification system of medical devices and the Breakthrough Devices Program.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The Vivistim System Procedure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implantable components of the Vivistim System – namely, the implantable pulse generator (IPG) and lead – are implanted through a safe, minimally invasive outpatient procedure that takes approximately 60 minutes. During the procedure, a surgeon makes a small incision on the left side of the neck to expose and isolate the vagus nerve and creates a pocket in the upper-left chest area for the IPG. The lead is tunneled from the neck incision to the generator pocket, and the helical electrode is carefully placed around the vagus nerve. Vagus nerve stimulation has been used in clinical practice for other conditions for over 25 years and neurosurgeons are well-acquainted with this technique. Patients typically recover quickly and are able to resume normal activities within a few days. The image below depicts the placement of the Vivistim System, including the IPG and lead.</w:t>
      </w:r>
    </w:p>
    <w:p>
      <w:pPr>
        <w:pStyle w:val="TextBody"/>
        <w:bidi w:val="0"/>
        <w:spacing w:before="0" w:after="180"/>
        <w:jc w:val="center"/>
        <w:rPr/>
      </w:pPr>
      <w:r>
        <w:rPr/>
        <w:drawing>
          <wp:inline distT="0" distB="0" distL="0" distR="0">
            <wp:extent cx="4572000" cy="2781300"/>
            <wp:effectExtent l="0" t="0" r="0" b="0"/>
            <wp:docPr id="1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 descr=""/>
                    <pic:cNvPicPr>
                      <a:picLocks noChangeAspect="1" noChangeArrowheads="1"/>
                    </pic:cNvPicPr>
                  </pic:nvPicPr>
                  <pic:blipFill>
                    <a:blip r:embed="rId6"/>
                    <a:stretch>
                      <a:fillRect/>
                    </a:stretch>
                  </pic:blipFill>
                  <pic:spPr bwMode="auto">
                    <a:xfrm>
                      <a:off x="0" y="0"/>
                      <a:ext cx="4572000" cy="27813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Vivistim Therapy Delivery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Shortly after device implantation, patients begin Vivistim Therapy with a physical or occupational therapist. Vivistim Therapy does not require patient-specific programming but can be adjusted as needed. In the clinic, the therapist uses a remote to activate the Vivistim System during task-specific practice, such as reaching for and grasping objects. This type of therapy is called “task-specific practice” and focuses on practicing meaningful tasks tailored to each patient’s recovery objectives and conducting a large number of sequential repetitions of each task. Each session typically involves over 300 task repetitions and is tailored to provide the appropriate level of challenge, with tasks increasing in complexity as the patient’s functional abilities improve.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Vivistim System does not deliver continuous stimulation. During in-clinic therapy, therapists activate stimulation only when paired with intentional, task-specific practice. Therapists generally do not require training on how to administer task-specific practice therapy, only an introduction on how to control and activate the Vivistim System. During each task, the therapist delivers several stimulation pulses activated via the remote control, resulting in several hundred stimulation pulses per therapy session. Therapy sessions are typically 90 minutes each, three times per week for at least six weeks. By pairing precisely-delivered vagus nerve stimulation with intensive task practice, Vivistim Therapy creates and reinforces neural pathways that improve upper limb function.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Patients can continue Vivistim Therapy at home, both during their in-clinic therapy protocol and, if desired, in the months and years that follow. By performing functional movements with the Vivistim System at home, they can further reinforce neural retraining. Patients easily activate stimulation sessions by swiping the Vivistim magnet over the Vivistim IPG implant site, which initiates 30 minutes of periodic stimulation pulses. Patients may initiate up to 8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1"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stimulation sessions per day, which we determined based on anticipated real world usage and believe is adequate to enable quality functional movement during each session. During this time, patients perform activities of daily living or functional movements recommended by their therapists. Such functional movements could include taking a shower, getting dressed, folding laundry, doing dishes, emptying the dishwasher, preparing or eating meals, or engaging in hobbies. Importantly, the ability for patients to observe real, tangible improvements in their ability to perform activities of daily living encourages ongoing engagement with at-home therapy, helping them to sustain their efforts and achieve meaningful, lasting functional improvement over time.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Setting a New Standard in Chronic Stroke Recovery: The Key Benefits of Vivistim Therapy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Vivistim Therapy offers the first effective therapeutic option for chronic ischemic stroke patients living with moderate to severe upper extremity impairment, with the following key benefits: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First and only FDA-approved device clinically proven to deliver significant improvements in upper limb function.</w:t>
      </w:r>
      <w:r>
        <w:rPr>
          <w:color w:val="000000"/>
        </w:rPr>
        <w:t xml:space="preserve"> </w:t>
      </w:r>
      <w:r>
        <w:rPr>
          <w:rFonts w:ascii="Times New Roman;serif" w:hAnsi="Times New Roman;serif"/>
          <w:b w:val="false"/>
          <w:color w:val="000000"/>
          <w:sz w:val="20"/>
        </w:rPr>
        <w:t xml:space="preserve">In our pivotal, triple-blind, randomized, sham-controlled VNS-REHAB trial, Vivistim Therapy resulted in an approximately two-times greater, as measured by FMA-UE, and approximately three-times greater, as measured by WMFT, improvement in hand and arm function compared to intensive rehabilitation alone, at the end of the in-clinic and at-home therapy protocol. At such time, the FMA-UE score increased by 5.8 points in the treatment group. These results highlight Vivistim Therapy’s distinctive ability to drive substantial neuroplastic adaptations and functional gains, which we believe sets it apart as the only therapy with robust clinical evidence for effective post-stroke motor recovery. Based on published case studies involving patients that received Vivistim Therapy, improvements in upper limb function following Vivistim Therapy can further enable patients to perform activities of daily living, such as dressing independently, preparing meals, folding laundry, and eating (Saylor A, Patrick L, Reddy CG, Gandhi R., </w:t>
      </w:r>
      <w:r>
        <w:rPr>
          <w:rFonts w:ascii="Times New Roman;serif" w:hAnsi="Times New Roman;serif"/>
          <w:b w:val="false"/>
          <w:i/>
          <w:color w:val="000000"/>
          <w:sz w:val="20"/>
        </w:rPr>
        <w:t>Vagus Nerve Stimulation Paired With Upper Extremity Rehabilitation for Chronic Stroke: Real-World Implementation and Outcomes</w:t>
      </w:r>
      <w:r>
        <w:rPr>
          <w:rFonts w:ascii="Times New Roman;serif" w:hAnsi="Times New Roman;serif"/>
          <w:b w:val="false"/>
          <w:color w:val="000000"/>
          <w:sz w:val="20"/>
        </w:rPr>
        <w:t xml:space="preserve">. Arch Rehabil Res Clin Transl. (2026)). Even modest gains – particularly in wrist, hand, and finger function – can impact dignity, independence, and quality of life.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 xml:space="preserve">Significant clinical improvement even for patients who initiate treatment many years post-stroke. </w:t>
      </w:r>
      <w:r>
        <w:rPr>
          <w:rFonts w:ascii="Times New Roman;serif" w:hAnsi="Times New Roman;serif"/>
          <w:b w:val="false"/>
          <w:color w:val="000000"/>
          <w:sz w:val="20"/>
        </w:rPr>
        <w:t>Unlike conventional rehabilitation therapies, which have shown benefits during the sub-acute phase of stroke recovery but not in the chronic phase, Vivistim Therapy has demonstrated clinically meaningful improvements for patients even years after their stroke. We observed significant functional improvements in all cohorts of our pivotal clinical trial, with participants averaging 3.3 years post-stroke at the time of treatment and a range from nine months to 10 years into their recovery. Commercially, we have treated patients many years post-stroke, including up to 45 years, who have achieved meaningful clinical benefit, demonstrating that improvement with Vivistim Therapy is possible regardless of time elapsed since stroke and offering hope to a large population of chronic stroke survivors.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 xml:space="preserve">Durable improvements underpinned by a clinically proven mechanism of action. </w:t>
      </w:r>
      <w:r>
        <w:rPr>
          <w:rFonts w:ascii="Times New Roman;serif" w:hAnsi="Times New Roman;serif"/>
          <w:b w:val="false"/>
          <w:color w:val="000000"/>
          <w:sz w:val="20"/>
        </w:rPr>
        <w:t>The functional gains achieved with Vivistim Therapy are long-lasting, providing durable, life-changing outcomes for stroke survivors. Clinical data has demonstrated sustained motor improvements, measured out to one year in our pivotal trial and three years in our pilot trial.</w:t>
      </w:r>
      <w:r>
        <w:rPr>
          <w:color w:val="000000"/>
        </w:rPr>
        <w:t xml:space="preserve"> </w:t>
      </w:r>
      <w:r>
        <w:rPr>
          <w:rFonts w:ascii="Times New Roman;serif" w:hAnsi="Times New Roman;serif"/>
          <w:b w:val="false"/>
          <w:color w:val="000000"/>
          <w:sz w:val="20"/>
        </w:rPr>
        <w:t xml:space="preserve">This lasting effect is enabled by the unique mechanism of action underlying Vivistim Therapy, which creates durable neural pathways that enable motor improvements.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High patient and therapist satisfaction, with consistently positive feedback.</w:t>
      </w:r>
      <w:r>
        <w:rPr>
          <w:color w:val="000000"/>
        </w:rPr>
        <w:t xml:space="preserve"> </w:t>
      </w:r>
      <w:r>
        <w:rPr>
          <w:rFonts w:ascii="Times New Roman;serif" w:hAnsi="Times New Roman;serif"/>
          <w:b w:val="false"/>
          <w:color w:val="000000"/>
          <w:sz w:val="20"/>
        </w:rPr>
        <w:t>Based on a survey we conducted in connection with our VNS-REHAB trial, 98% of patients that received Vivistim Therapy were satisfied with their experience. In addition, based on a commercial survey conducted by us, 98% of therapists would recommend Vivistim Therapy to suitable candidates. We believe the high satisfaction rate reflects the profound impact of these functional gains on patients’ lives, and the differentiation of functional gains enabled by Vivistim Therapy.</w:t>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Safe and minimally invasive outpatient procedure.</w:t>
      </w:r>
      <w:r>
        <w:rPr>
          <w:color w:val="000000"/>
        </w:rPr>
        <w:t xml:space="preserve"> </w:t>
      </w:r>
      <w:r>
        <w:rPr>
          <w:rFonts w:ascii="Times New Roman;serif" w:hAnsi="Times New Roman;serif"/>
          <w:b w:val="false"/>
          <w:color w:val="000000"/>
          <w:sz w:val="20"/>
        </w:rPr>
        <w:t xml:space="preserve">The IPG and lead are placed via a simple, 60-minute procedure using two small incisions, allowing patients to return home on the same day and quickly resume activities of daily living. This type of procedure has been safely performed by neurosurgeons, who are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2"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trained on it in their residency programs, and other qualified surgeons for over 25 years to treat other medical conditions and is considered safe and reliable. Our clinical results have validated the safety of the system and therapy, with no severe adverse events, serious adverse events or unanticipated adverse events associated with the Vivistim System in our VNS-REHAB trial. Our clinical results have also validated the safety of the procedure with a low complication rate. In our VNS-REHAB trial, the rate of surgical complications that did not resolve within a few weeks was less than 1%. </w:t>
      </w:r>
    </w:p>
    <w:p>
      <w:pPr>
        <w:pStyle w:val="TextBody"/>
        <w:bidi w:val="0"/>
        <w:spacing w:before="0" w:after="180"/>
        <w:ind w:left="0" w:right="0" w:hanging="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the Vivistim Paired VNS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Vivistim Paired VNS System consists of the following six components:</w:t>
      </w:r>
    </w:p>
    <w:p>
      <w:pPr>
        <w:pStyle w:val="TextBody"/>
        <w:bidi w:val="0"/>
        <w:spacing w:before="0" w:after="180"/>
        <w:jc w:val="center"/>
        <w:rPr/>
      </w:pPr>
      <w:r>
        <w:rPr/>
        <w:drawing>
          <wp:inline distT="0" distB="0" distL="0" distR="0">
            <wp:extent cx="5943600" cy="2981325"/>
            <wp:effectExtent l="0" t="0" r="0" b="0"/>
            <wp:docPr id="1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 descr=""/>
                    <pic:cNvPicPr>
                      <a:picLocks noChangeAspect="1" noChangeArrowheads="1"/>
                    </pic:cNvPicPr>
                  </pic:nvPicPr>
                  <pic:blipFill>
                    <a:blip r:embed="rId7"/>
                    <a:stretch>
                      <a:fillRect/>
                    </a:stretch>
                  </pic:blipFill>
                  <pic:spPr bwMode="auto">
                    <a:xfrm>
                      <a:off x="0" y="0"/>
                      <a:ext cx="5943600" cy="2981325"/>
                    </a:xfrm>
                    <a:prstGeom prst="rect">
                      <a:avLst/>
                    </a:prstGeom>
                  </pic:spPr>
                </pic:pic>
              </a:graphicData>
            </a:graphic>
          </wp:inline>
        </w:drawing>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1.Implantable Pulse Generator (IPG):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IPG is a primary cell (non-rechargeable) device placed under the skin in the upper-left pectoral region, either subcutaneously or sub-muscularly. It serves as the system’s power source, delivering controlled electrical pulses to stimulate the vagus nerve during therapy. The IPG battery has an indicated service life under continuous use conditions of five years. After its end of service, the IPG can be surgically replaced for continued use. The actual rate of battery depletion will be impacted by the rate of utilization of the Vivistim System. See “Risk Factors—Risks Related to Our Business and Industry—Adverse events, product recalls, or other complications or customer satisfaction issues associated with Vivistim Therapy, including regarding the finite IPG battery life, could limit its adoption.”</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2.Implantable Lead: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lead features a helical electrode coil on one end that wraps around the left vagus nerve in the neck, and a connector on the other end that connects to the IPG. It establishes reliable and safe contact with the vagus nerve to deliver stimulation pulses.</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3.Stroke Application &amp; Programming Software (SAPS):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SAPS serves as the interface for controlling the Vivistim System. Using SAPS, clinicians and therapists can set and adjust the IPG stimulation parameters if needed, including amplitude, frequency, and pulse width, during and after surgery. The software also enables clinicians and therapists to check the IPG battery status and lead impedance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measure of the lead’s resistance to current), ensuring optimal device performance and safety. Additionally, SAPS records data on stimulations delivered, whether activated by a therapist’s remote or a patient’s magnet, allowing for tracking of therapy utilization. SAPS is provided to clinicians pre-installed on a secure laptop. Our device manual includes detailed instructions regarding the use of SAPS, and a team of field-based clinical engineers are available to provide remote and in-person support to clinicians and therapists using our SAPS.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4.Wireless Transmitter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WT physically connects to SAPS and communicates wirelessly between SAPS and the implanted IPG. Any programming changes initiated in SAPS are communicated to the IPG via the WT. Similarly, all usage, battery, and impedance data extracted from the IPG is transferred to SAPS via the WT.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5.Remote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Used by therapists during in-clinic therapy sessions, the remote control allows for the immediate and precise activation of vagus nerve stimulation. Each press of the remote delivers a half-second pulse of stimulation, synchronizing stimulation precisely with functional movement to strengthen neural connections.</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6.Magnet: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magnet is provided to patients for at-home therapy, and it is swiped over the Vivistim IPG implant site to activate a 30-minute stimulation session. During this session, the Vivistim System delivers half-second pulses of stimulation every 10 seconds, providing periodic neurostimulation while patients perform functional movements or activities of daily living. The magnet also serves as a safety feature, allowing patients to stop stimulation by holding it over the device.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Clinical Results and Studies</w:t>
      </w:r>
    </w:p>
    <w:p>
      <w:pPr>
        <w:pStyle w:val="TextBody"/>
        <w:bidi w:val="0"/>
        <w:spacing w:lineRule="auto" w:line="288" w:before="0" w:after="180"/>
        <w:jc w:val="left"/>
        <w:rPr/>
      </w:pPr>
      <w:r>
        <w:rPr>
          <w:rFonts w:ascii="Times New Roman;serif" w:hAnsi="Times New Roman;serif"/>
          <w:b w:val="false"/>
          <w:color w:val="000000"/>
          <w:sz w:val="20"/>
        </w:rPr>
        <w:t xml:space="preserve">We have established a robust body of clinical evidence, including three randomized control trials, supporting the safety, efficacy, durability, and well-understood mechanism of action of Vivistim Therapy. The results of our VNS-REHAB trial, our pivotal, randomized, sham-controlled, triple blinded clinical trial, demonstrated an approximately two-times greater, as measured by FMA-UE, and approximately three-times greater, as measured by WMFT, improvement in hand and arm function compared to intensive rehabilitation alone, at the end of the in-clinic and at-home therapy protocol. The 1-year follow-up of this trial demonstrated that these functional gains were maintained long-term. These results, which were first published in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Lancet</w:t>
      </w:r>
      <w:r>
        <w:rPr>
          <w:color w:val="000000"/>
        </w:rPr>
        <w:t xml:space="preserve"> </w:t>
      </w:r>
      <w:r>
        <w:rPr>
          <w:rFonts w:ascii="Times New Roman;serif" w:hAnsi="Times New Roman;serif"/>
          <w:b w:val="false"/>
          <w:color w:val="000000"/>
          <w:sz w:val="20"/>
        </w:rPr>
        <w:t xml:space="preserve">in 2021, served as the basis for the Premarket Approval (PMA) of Vivistim Therapy in August 2021. The results are further supported by our previous feasibility trial and our pilot trial, which demonstrated a high response rate and meaningful improvement in upper extremity mobility without any significant safety concerns related to Vivistim Therapy. In addition, the pilot trial demonstrated sustained benefits of Vivistim Therapy for up to 3 years. Our body of clinical evidence includes over 20 peer-reviewed clinical publications on the safety, effectiveness, and durability of Vivistim Therapy, as well as the mechanism of action of paired vagus nerve stimulation, most of which were co-authored by our clinical and scientific teams.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develop clinical and real-world evidence to further demonstrate the safety, efficacy and sustained benefits of Vivistim Therapy. We established our GRASP registry to collect real-world evidence with the objective to support future publications, payor coverage, inclusion in clinical guidelines and accelerate market adoption. As of December 31, 2025, we had enrolled 255 participants in our GRASP registry. We are also conducting the VNS-REHAB At-Home Study, which is designed to assess the feasibility of therapist-directed Vivistim Therapy at home instead of in clinic for participants. Initial results from the first 11 participants enrolled in the VNS-REHAB At-Home Study indicate that Vivistim Therapy can be effectively delivered at home, presenting the opportunity for greater convenience for participants than driving or finding transportation to a therapy site.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efficacy endpoints in our trials assess various participant outcome measurements related to motor function and recovery primarily based on the FMA-UE score and WMFT functional score. FMA-UE is considered the gold standard for measuring motor impairment in the arm, hand, and wrist; participants perform specific movements and are scored on a 3-point scale (0, 1, or 2), with the total upper extremity motor score ranging from 0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to 66, and lower scores indicating a more severe impairment. Impairments of the fingers and hands typically have the most significant impact on quality of life, but make up just a small portion of the total FMA-UE score. Therefore, even a small improvement in FMA-UE score, if localized in the fingers and hand, can have a significant impact on overall function and independence.</w:t>
      </w:r>
      <w:r>
        <w:rPr>
          <w:color w:val="000000"/>
          <w:shd w:fill="FFFFFF" w:val="clear"/>
        </w:rPr>
        <w:t xml:space="preserve"> </w:t>
      </w:r>
      <w:r>
        <w:rPr>
          <w:rFonts w:ascii="Times New Roman;serif" w:hAnsi="Times New Roman;serif"/>
          <w:b w:val="false"/>
          <w:color w:val="000000"/>
          <w:sz w:val="20"/>
          <w:shd w:fill="FFFFFF" w:val="clear"/>
        </w:rPr>
        <w:t xml:space="preserve">In a WMFT </w:t>
      </w:r>
      <w:r>
        <w:rPr>
          <w:rFonts w:ascii="Times New Roman;serif" w:hAnsi="Times New Roman;serif"/>
          <w:b w:val="false"/>
          <w:color w:val="000000"/>
          <w:sz w:val="20"/>
        </w:rPr>
        <w:t xml:space="preserve">assessment, participants are scored on 15 standardized movements (e.g., lifting objects, reaching, and manipulating items), with performance measured by both time and functional ability. Each movement is scored on a scale of 0 to 5, then an overall average is taken to produce a total score from 0 to 5, with higher scores indicating higher function.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VNS-REHAB Trial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pivotal trial, the VNS-REHAB trial, was a randomized, sham-controlled, triple-blinded trial conducted at 19 sites in the United States and United Kingdom. Participants were enrolled from October 2017 to September 2019. We evaluated 108 participants between the age of 22 and 80 years old, who had a history of ischemic stroke occurring between nine months and 10 years prior to randomization as well as moderate-to-severe upper extremity impairment, as defined by an FMA-UE score between 20 and 50. The mean FMA-UE baseline score ranged between 34.4 (Vivistim Therapy group) and 35.7 (control group) and WMFT score between 2.71 (Vivistim Therapy group) and 2.83 (control group). The primary objectives were to provide evidence of efficacy as well as to assess the safety of Vivistim Therapy.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participants in the trial underwent vagus nerve stimulation implant surgery, at which time they were randomly assigned (1:1) to either functional movement and exercise paired with vagus nerve stimulation (Vivistim Therapy group, n=53) or functional movement and exercise paired with sham stimulation (control group, n=55). All efficacy and safety analyses were performed on intention-to-treat population (combined n=108), defined as all participants who have any surgical portion of the implant procedure attempted, regardless of the treatment to which they were assigned, and regardless of the amount of intervention completed.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Both Vivistim Therapy and control groups received six weeks of intensive in-clinic therapy of 90 minutes, three times per week, for a total of 18 sessions. Each in-clinic therapy session consisted of 300 to 500 repetitions of tasks as part of task-specific practice. The Vivistim Therapy group received active stimulation with Vivistim Therapy during the in-clinic therapy period, and the control group received sham stimulation. There was no in-home therapy during this period. Following the six weeks of in-clinic therapy, all participants in both groups began daily therapist-prescribed home exercises which were performed for 90 days. Participants were instructed to activate stimulation during prescribed home exercises and received 30 minutes of either active (Vivistim Therapy group) or sham (control group) stimulation during each session.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Participants and investigators were unblinded after the 90-day period of prescribed home exercises, at which time participants in the Vivistim Therapy group entered the long-term phase of the trial and participants in the control group entered the crossover phase. During this phase, participants in the crossover group received an additional 18 sessions (3 times per week for 6 weeks) of in-clinic therapy paired with active stimulation with Vivistim Therapy. Following this six week period of in-clinic therapy, participants began daily therapist-prescribed home exercises for 90 days. Participants were instructed to activate stimulation during prescribed home exercises and received 30 minutes of active stimulation during each session. Thereafter, control participants progressed to the long-term phase of the trial.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long-term phase of the trial, all participants continued therapist-prescribed home exercises with self-initiated active stimulation for 1 year following completion of the in-clinic protocol. In addition, participants were encouraged to activate stimulation before undertaking daily living activities that engage the upper extremities, such as washing dishes or folding laundry. During the long-term phase, participants attended one to three in-clinic therapy visits. These visits were scheduled at least 1 month before the 6- or 12-month assessment.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primary outcome measurement was change in FMA-UE score from baseline to the first day following the completion of in-clinic therapy (First Day Post In-Clinic). Secondary outcome measurements consisted of clinically meaningful response on FMA-UE score at 90 days following the completion of in-clinic therapy (Day 90 Post In-Clinic) and change in each of FMA-UE score and WMFT functional score relative to baseline at Day 90 Post In-</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Clinic. Based on research published in </w:t>
      </w:r>
      <w:r>
        <w:rPr>
          <w:rFonts w:ascii="Times New Roman;serif" w:hAnsi="Times New Roman;serif"/>
          <w:b w:val="false"/>
          <w:i/>
          <w:color w:val="000000"/>
          <w:sz w:val="20"/>
        </w:rPr>
        <w:t>Physical Therapy</w:t>
      </w:r>
      <w:r>
        <w:rPr>
          <w:rFonts w:ascii="Times New Roman;serif" w:hAnsi="Times New Roman;serif"/>
          <w:b w:val="false"/>
          <w:color w:val="000000"/>
          <w:sz w:val="20"/>
        </w:rPr>
        <w:t xml:space="preserve">, a peer reviewed medical journal and the official scientific journal of the American Physical Therapist Association, which showed that a 5.25-point improvement was associated with an excellent improvement (greater than 50% improvement) in arm function. In our VNS-REHAB trial, we defined a clinically meaningful response as a 6-point or greater improvement in FMA-UE score. In addition, p-values from the trial are an indication of statistical significance reflecting the probability of an observation occurring due to chance alone. A clinical trial result is statistically significant if it is unlikely to have occurred by chance, and the statistical significance of clinical trial results is determined by a widely used statistical method that establishes the p-value of the results. Under this method, a p-value of p&lt;0.05 or less typically represents a 95% probability that the results did not occur by chance alone, and are generally considered statistically significant results. For purposes of the trial results, a clinically meaningful response is intended to represent an improvement in function, as measured by change in FMA-UE score, that would be clinically important and meaningful to people living with stroke, and a statistically significant result indicates that such improvement or other outcome measurement is likely due to the Vivistim Therapy as opposed to chance.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Results</w:t>
      </w:r>
    </w:p>
    <w:p>
      <w:pPr>
        <w:pStyle w:val="TextBody"/>
        <w:bidi w:val="0"/>
        <w:spacing w:lineRule="auto" w:line="288" w:before="0" w:after="180"/>
        <w:jc w:val="left"/>
        <w:rPr/>
      </w:pPr>
      <w:r>
        <w:rPr>
          <w:rFonts w:ascii="Times New Roman;serif" w:hAnsi="Times New Roman;serif"/>
          <w:b w:val="false"/>
          <w:color w:val="000000"/>
          <w:sz w:val="20"/>
        </w:rPr>
        <w:t xml:space="preserve">The results of the VNS-REHAB trial, published in April 2021 in </w:t>
      </w:r>
      <w:r>
        <w:rPr>
          <w:rFonts w:ascii="Times New Roman;serif" w:hAnsi="Times New Roman;serif"/>
          <w:b w:val="false"/>
          <w:i/>
          <w:color w:val="000000"/>
          <w:sz w:val="20"/>
        </w:rPr>
        <w:t>The Lancet</w:t>
      </w:r>
      <w:r>
        <w:rPr>
          <w:rFonts w:ascii="Times New Roman;serif" w:hAnsi="Times New Roman;serif"/>
          <w:b w:val="false"/>
          <w:color w:val="000000"/>
          <w:sz w:val="20"/>
        </w:rPr>
        <w:t xml:space="preserve">, showed statistically significant and clinically meaningful improvements for the Vivistim Therapy group versus the control group on the primary and all secondary outcome measures (Dawson, Jesse et al., </w:t>
      </w:r>
      <w:r>
        <w:rPr>
          <w:rFonts w:ascii="Times New Roman;serif" w:hAnsi="Times New Roman;serif"/>
          <w:b w:val="false"/>
          <w:i/>
          <w:color w:val="000000"/>
          <w:sz w:val="20"/>
        </w:rPr>
        <w:t>Vagus nerve stimulation paired with rehabilitation for upper limb motor function after ischaemic stroke (VNS-REHAB): a randomised, blinded, pivotal, device trial</w:t>
      </w:r>
      <w:r>
        <w:rPr>
          <w:rFonts w:ascii="Times New Roman;serif" w:hAnsi="Times New Roman;serif"/>
          <w:b w:val="false"/>
          <w:color w:val="000000"/>
          <w:sz w:val="20"/>
        </w:rPr>
        <w:t>, The Lancet, Volume 397, Issue 10284, 1545-1553 (2021)). For the primary efficacy outcome measurement of change in FMA-UE score at First Day Post In-Clinic Therapy, the mean FMA-UE score increased by 5.0 points in the Vivistim Therapy group compared to 2.4 points in the control group (p=0.0014), demonstrating an approximate two times greater improvement. For the secondary outcome measurements of change in each of FMA-UE score and WMFT functional score at Day 90 Post In-Clinic Therapy, the mean FMA-UE score increased 5.8 points in the Vivistim Therapy group compared to 2.8 points in the control group (p=0.0077), demonstrating an approximate two times greater improvement, and the mean WMFT functional score increased by 0.46 points in the Vivistim Therapy group compared to 0.16 points in the control group (p&lt;0.0001), demonstrating an approximate three times greater improvement. A clinically meaningful response on the FMA-UE score at Day 90 Post In-Clinic Therapy occurred in the Vivistim Therapy group at approximately twice the rate of the control group, with 47% of participants achieving this response in the Vivistim Therapy group compared to 24% in the control group (p=0.0098), based on a rigorous response threshold of greater than 6-point improvement in FMA-UE. A clinically meaningful response on the WMFT functional score at Day 90 Post-In-Clinic Therapy was also observed, with 57% of participants achieving this response in the Vivistim Therapy group compared to 22% in the control group (p&lt;0.0001). The results were consistent across participant subgroups and characteristics, demonstrating efficacy independent of time since stroke as well as age, ethnicity and gender.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charts below show the primary and secondary efficacy measures for both the Vivistim Therapy group and for the control group. In the first and third charts below, the squares represent the mean group value and the vertical lines denote 95% confidence intervals. The * in each chart denotes p&lt;0.05, the significance level used to measure the difference between Vivistim Therapy and control groups.</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Change in FMA-UE – Baseline to Day 90 Post In-Clinic</w:t>
      </w:r>
    </w:p>
    <w:p>
      <w:pPr>
        <w:pStyle w:val="TextBody"/>
        <w:bidi w:val="0"/>
        <w:spacing w:before="0" w:after="180"/>
        <w:jc w:val="center"/>
        <w:rPr/>
      </w:pPr>
      <w:r>
        <w:rPr/>
        <w:drawing>
          <wp:inline distT="0" distB="0" distL="0" distR="0">
            <wp:extent cx="3009900" cy="1581150"/>
            <wp:effectExtent l="0" t="0" r="0" b="0"/>
            <wp:docPr id="1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 descr=""/>
                    <pic:cNvPicPr>
                      <a:picLocks noChangeAspect="1" noChangeArrowheads="1"/>
                    </pic:cNvPicPr>
                  </pic:nvPicPr>
                  <pic:blipFill>
                    <a:blip r:embed="rId8"/>
                    <a:stretch>
                      <a:fillRect/>
                    </a:stretch>
                  </pic:blipFill>
                  <pic:spPr bwMode="auto">
                    <a:xfrm>
                      <a:off x="0" y="0"/>
                      <a:ext cx="3009900" cy="1581150"/>
                    </a:xfrm>
                    <a:prstGeom prst="rect">
                      <a:avLst/>
                    </a:prstGeom>
                  </pic:spPr>
                </pic:pic>
              </a:graphicData>
            </a:graphic>
          </wp:inline>
        </w:drawing>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FMA-UE Response Rate at Day 90 Post In-Clinic</w:t>
      </w:r>
    </w:p>
    <w:p>
      <w:pPr>
        <w:pStyle w:val="TextBody"/>
        <w:bidi w:val="0"/>
        <w:spacing w:before="0" w:after="180"/>
        <w:jc w:val="center"/>
        <w:rPr/>
      </w:pPr>
      <w:r>
        <w:rPr/>
        <w:drawing>
          <wp:inline distT="0" distB="0" distL="0" distR="0">
            <wp:extent cx="3228975" cy="1695450"/>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9"/>
                    <a:stretch>
                      <a:fillRect/>
                    </a:stretch>
                  </pic:blipFill>
                  <pic:spPr bwMode="auto">
                    <a:xfrm>
                      <a:off x="0" y="0"/>
                      <a:ext cx="3228975" cy="16954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Change in WMFT – Baseline to Day 90 Post In-Clinic</w:t>
      </w:r>
    </w:p>
    <w:p>
      <w:pPr>
        <w:pStyle w:val="TextBody"/>
        <w:bidi w:val="0"/>
        <w:spacing w:before="0" w:after="180"/>
        <w:jc w:val="center"/>
        <w:rPr/>
      </w:pPr>
      <w:r>
        <w:rPr/>
        <w:drawing>
          <wp:inline distT="0" distB="0" distL="0" distR="0">
            <wp:extent cx="3038475" cy="159067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10"/>
                    <a:stretch>
                      <a:fillRect/>
                    </a:stretch>
                  </pic:blipFill>
                  <pic:spPr bwMode="auto">
                    <a:xfrm>
                      <a:off x="0" y="0"/>
                      <a:ext cx="3038475" cy="15906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WMFT Response Rate at Day 90 Post In-Clinic</w:t>
      </w:r>
    </w:p>
    <w:p>
      <w:pPr>
        <w:pStyle w:val="TextBody"/>
        <w:bidi w:val="0"/>
        <w:spacing w:before="0" w:after="180"/>
        <w:jc w:val="center"/>
        <w:rPr/>
      </w:pPr>
      <w:r>
        <w:rPr/>
        <w:drawing>
          <wp:inline distT="0" distB="0" distL="0" distR="0">
            <wp:extent cx="3267075" cy="1714500"/>
            <wp:effectExtent l="0" t="0" r="0" b="0"/>
            <wp:docPr id="1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 descr=""/>
                    <pic:cNvPicPr>
                      <a:picLocks noChangeAspect="1" noChangeArrowheads="1"/>
                    </pic:cNvPicPr>
                  </pic:nvPicPr>
                  <pic:blipFill>
                    <a:blip r:embed="rId11"/>
                    <a:stretch>
                      <a:fillRect/>
                    </a:stretch>
                  </pic:blipFill>
                  <pic:spPr bwMode="auto">
                    <a:xfrm>
                      <a:off x="0" y="0"/>
                      <a:ext cx="3267075" cy="17145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Vivistim Therapy was further demonstrated by the results of the crossover phase of the trial. In the crossover group, FMA-UE improved from baseline by a mean of 6.13 and 5.64 points at first day following the completion of crossover in-clinic therapy (First Day Post Cross-Over In-Clinic) and at 90 days following the completion of crossover in-clinic therapy (Day 90 Post Cross-Over In-Clinic), respectively. WMFT functional scores also improved by a mean of 0.42 and 0.41 at First Day Post Cross-Over In-Clinic and Day 90 Post Cross-Over In-Clinic, respectively. The magnitude of the improvement after Vivistim Therapy was similar in the crossover group to that of the original Vivistim Therapy group, which we believe suggests that functional gains are consistent and repeatable.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Safety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Participants from the trial reported various adverse events, typically mild or moderate. There were five severe events reported (three in the Vivistim Therapy group and two in the control group). Severe adverse events in the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Vivistim Therapy group included urinary tract infection, hyponatremia and insomnia. None of the severe adverse events were reported as related to the Vivistim System and the events were generally similar between Vivistim Therapy group and control group. There was one case of vocal cord palsy following device implantation in a control participant, which resolved after five weeks. There were no serious adverse events or unanticipated adverse events associated with the Vivistim System reported during this trial.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Long-Term Follow-Up</w:t>
      </w:r>
    </w:p>
    <w:p>
      <w:pPr>
        <w:pStyle w:val="TextBody"/>
        <w:bidi w:val="0"/>
        <w:spacing w:lineRule="auto" w:line="288" w:before="0" w:after="180"/>
        <w:jc w:val="left"/>
        <w:rPr/>
      </w:pPr>
      <w:r>
        <w:rPr>
          <w:rFonts w:ascii="Times New Roman;serif" w:hAnsi="Times New Roman;serif"/>
          <w:b w:val="false"/>
          <w:color w:val="000000"/>
          <w:sz w:val="20"/>
        </w:rPr>
        <w:t xml:space="preserve">The long-term results from our VNS-REHAB trial, which were published in May 2025 in </w:t>
      </w:r>
      <w:r>
        <w:rPr>
          <w:rFonts w:ascii="Times New Roman;serif" w:hAnsi="Times New Roman;serif"/>
          <w:b w:val="false"/>
          <w:i/>
          <w:color w:val="000000"/>
          <w:sz w:val="20"/>
        </w:rPr>
        <w:t>Stroke</w:t>
      </w:r>
      <w:r>
        <w:rPr>
          <w:rFonts w:ascii="Times New Roman;serif" w:hAnsi="Times New Roman;serif"/>
          <w:b w:val="false"/>
          <w:color w:val="000000"/>
          <w:sz w:val="20"/>
        </w:rPr>
        <w:t xml:space="preserve">, support the long-term effectiveness of Vivistim Therapy (Kimberley, Teresa et al., </w:t>
      </w:r>
      <w:r>
        <w:rPr>
          <w:rFonts w:ascii="Times New Roman;serif" w:hAnsi="Times New Roman;serif"/>
          <w:b w:val="false"/>
          <w:i/>
          <w:color w:val="000000"/>
          <w:sz w:val="20"/>
        </w:rPr>
        <w:t>Long-Term Outcomes of Vagus Nerve Stimulation Paired With Upper Extremity Rehabilitation After Stroke</w:t>
      </w:r>
      <w:r>
        <w:rPr>
          <w:rFonts w:ascii="Times New Roman;serif" w:hAnsi="Times New Roman;serif"/>
          <w:b w:val="false"/>
          <w:color w:val="000000"/>
          <w:sz w:val="20"/>
        </w:rPr>
        <w:t>, Stroke, Volume 56, Number 8, 2255-2265 (2025)). One-year follow-up data were available for 74 of the original 108 participants in the VNS-REHAB trial. This data demonstrated that FMA-UE scores were maintained for at least one year following the completion of in-clinic therapy, with a mean FMA-UE score increase of 5.23 from baseline. The WMFT functional score increased by a mean of 0.5 from baseline at one year, indicating that improvements in WMFT functional scores were maintained to at least one year. Side of stroke, age, time since stroke, and sex did not significantly impact FMA-UE or WMFT outcomes at one year. Overall, 66% of participants achieved a response to Vivistim Therapy as measured by increase in either FMA-UE or WMFT score. Serious events were reported in four participants after the blinded phase and before one-year follow-up (three in the Vivistim Therapy group and one in the control group), none of which were related to the therapy or stimulation.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Pilot Trial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a pilot trial prior to our VNS-REHAB trial. Our pilot trial was a randomized, multisite, double-blinded, sham-controlled trial. Participants were enrolled from three sites in the United Kingdom and one site in the United States from 2014 to 2017. People between the age of 30 and 80 years old, who had a history of ischemic stroke occurring between four months and five years prior to enrollment, and an FMA-UE score between 20 and 50 were eligible for inclusion. Seventeen participants were implanted with the Vivistim System and randomly assigned to either rehabilitation with active vagus nerve stimulation (Vivistim Therapy group, n=8) or rehabilitation with sham stimulation (control group, n=9). The trial was not powered for statistical significance.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Participants, therapists and outcome assessors were all blinded to group allocation, and a true sham-control arm was used.  Both Vivistim Therapy and control groups received six weeks of in-clinic rehabilitation, three times per week, for a total of 18 sessions. The Vivistim Therapy group received active stimulation with Vivistim Therapy during rehabilitation, and the control group received sham stimulation. Following the six weeks of rehabilitation, all participants in both groups began daily therapist-prescribed home exercises which were performed for 90 days. Participants were instructed to activate stimulation during prescribed home exercises and received either active (Vivistim Therapy group) or sham (control group) stimulation during each session.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90-day period of prescribed home exercises, participants in the Vivistim Therapy group entered the long-term phase of the trial and participants in the control group entered the crossover phase. During this phase, participants in the crossover group received an additional 18 sessions (three times per week for six weeks) of in-clinic rehabilitation paired with active stimulation with Vivistim Therapy. Thereafter, control participants progressed to the long-term phase of the trial which included home rehabilitation and self-administered active stimulation.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safety endpoint was the number of serious adverse events related to the device or therapy and the main feasibility measure was the number of participants who completed the minimum of 12 visits. Given this was a pilot trial, no primary or secondary efficacy endpoints were designated. However, efficacy outcomes included assessments of FMA-UE score and WMFT functional score, among others.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17 participants completed the trial up to 90 days post completion of in-clinic therapy. At day 1 after the completion of in-clinic therapy, mean FMA-UE scores increased 7.6 points from baseline in the Vivistim Therapy group, compared to 5.3 points in the control group. At 90 days, mean FMA-UE scores increased 9.5 points from baseline in the Vivistim Therapy group, compared to 3.8 in the control group. In addition, at 90 days post the completion of in-clinic therapy, we observed a clinically meaningful response (defined as a 6-point or greater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improvement in FMA-UE score from baseline) in 88% participants in the Vivistim Therapy group, compared to 33% in the control group.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Participants in our pilot trial were followed for a period of three years, during which the ongoing use of Vivistim Therapy demonstrated long-term efficacy, including a sustained average increase in FMA-UE score of 9.2 points at one year (based on data available for 15 participants), 11.4 points at two years (based on data available for 14 participants) and 14.8 points at three years (based on data available for 14 participants), in each case as compared to baseline. Our pilot trial found that the significant effects of Vivistim Therapy at 90 days post completion of in-clinic therapy were not only maintained out to three years, but further improved in measures of impairment and function over the course of the three years. Additionally, participants in the crossover group, who began in the control group, responded similarly to participants in the original Vivistim Therapy group after receiving active VNS therapy.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three serious adverse events related to implantation surgery, including one implantation wound infection requiring treatment with intravenous antibiotics but resolved; one case of shortness of breath and dysphagia, likely because of intubation, which recovered; and one case of hoarseness because of vocal cord palsy. There were no serious adverse events related to stimulation.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Feasibility Trial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initial feasibility trial was a randomized, controlled trial at two stroke centers in the United Kingdom from 2013 to 2015. In this trial, we evaluated 20 participants who had suffered ischemic stroke more than six months prior to enrollment, and had moderate to severe upper-limb impairment. Nine participants were randomized to rehabilitation with active vagus nerve stimulation (Vivistim Therapy group) and 11 participants were randomized to rehabilitation alone with no Vivistim System implant (control group). Investigators, therapists and participants were not blinded, but outcome assessors were blinded, and there was no sham-control arm. Only participants in the Vivistim Therapy group received the implantation. The trial was not powered for statistical significance.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primary endpoints were safety (the number of serious adverse events related to therapy) and feasibility (the number of participants who completed the therapy protocol). The main efficacy endpoint was the change in FMA-UE score between baseline and the first post-therapy visit. We also assessed whether participants improved by a minimum clinically meaningful difference in the FMA-UE score (defined as 6-point or greater improvement in FMA-UE score).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per-protocol analysis, there was a difference in change in FMA-UE score, with the mean FMA-UE score increase being 9.6 points in the Vivistim Therapy group compared to 3.0 points in the control group.  Additionally, six participants achieved a clinically meaningful response on the FMA-UE score in the Vivistim Therapy group compared to four in the control group. One participant had transient vocal cord palsy and dysphagia after implantation, and five had minor adverse device effects; there were no serious adverse device effects. All participants completed the therapy protocol. Overall, the trial suggested that VNS paired with therapy is feasible and did not raise safety concerns.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Vivistim Therapy GRASP Patient Registry</w:t>
      </w:r>
    </w:p>
    <w:p>
      <w:pPr>
        <w:pStyle w:val="TextBody"/>
        <w:bidi w:val="0"/>
        <w:spacing w:lineRule="auto" w:line="288" w:before="0" w:after="180"/>
        <w:jc w:val="left"/>
        <w:rPr/>
      </w:pPr>
      <w:r>
        <w:rPr>
          <w:rFonts w:ascii="Times New Roman;serif" w:hAnsi="Times New Roman;serif"/>
          <w:b w:val="false"/>
          <w:color w:val="000000"/>
          <w:sz w:val="20"/>
        </w:rPr>
        <w:t>We established our GRASP registry to track real world outcomes for participants who have received Vivistim Therapy. As of December 31, 2025, we had enrolled 255 participants across 59 sites. We expect to collect real-world evidence from 500 or more participants through the GRASP registry to further demonstrate and reinforce the effectiveness and durability of Vivistim Therapy and to help support additional publications, payor coverage decisions and inclusion in clinical guidelines. The GRASP registry includes participant assessments of functional outcomes, participant-reported outcomes, adherence, performance on varying therapy regimes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number and length of therapist-supervised sessions) as well as participant medical histories.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VNS-REHAB At-Home Study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conducting the VNS-REHAB At-Home Study, which is a post-market study designed to assess the feasibility and implementation of therapist-directed Vivistim Therapy at home instead of in clinic. The primary objective of the study is to assess compliance with the therapy protocol and acceptance of home therapy by people implanted with the Vivistim System, and it is intended to provide real-world evidence and data that at-home therapist directed Vivistim Therapy (therapy provided at the participant’s home by a therapist) is feasible. The primary endpoint is percent of participants who receive at least 24 hours of therapy at home by a therapist. Other endpoints will analyze changes in assessment measures over time compared to the participant’s own baseline.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study has two distinct stages. In the first stage, participants receive 36 hours of therapist-directed in-home therapy over 18 weeks, with two or more visits per week. On days without therapist-led sessions, participants will complete in-home exercises and functional activities on their own with self-activated Vivistim Therapy. In the second stage, following the initial 18-week period, participants continue to perform therapist-prescribed functional tasks at home with self-activated Vivistim Therapy for a follow-up period of up to two years. Enrollment has ended and we expect that approximately 25 patients will be implanted and provide data for final analysis. Initial results from the first 11 participants enrolled indicate that Vivistim Therapy initially implemented in the home environment is safe and effective and that participants can achieve high levels of compliance. Participants experienced a mean improvement in FMA-UE score of 7.0 points from baseline after 36 hours of therapist-directed in-home Vivistim Therapy. No serious adverse events occurred that were due to Vivistim Therapy.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Publications</w:t>
      </w:r>
    </w:p>
    <w:p>
      <w:pPr>
        <w:pStyle w:val="TextBody"/>
        <w:bidi w:val="0"/>
        <w:spacing w:lineRule="auto" w:line="288" w:before="0" w:after="180"/>
        <w:jc w:val="left"/>
        <w:rPr/>
      </w:pPr>
      <w:r>
        <w:rPr>
          <w:rFonts w:ascii="Times New Roman;serif" w:hAnsi="Times New Roman;serif"/>
          <w:b w:val="false"/>
          <w:color w:val="000000"/>
          <w:sz w:val="20"/>
        </w:rPr>
        <w:t>In addition to our clinical results and studies, the mechanism of action underlying Vivistim Therapy has been discussed and validated by a number of peer-reviewed industry journals. Some of the studies underlying such publications were preclinical, conducted with small sample sizes, did not control for clinical variables, or had other design limitations (</w:t>
      </w:r>
      <w:r>
        <w:rPr>
          <w:rFonts w:ascii="Times New Roman;serif" w:hAnsi="Times New Roman;serif"/>
          <w:b w:val="false"/>
          <w:i/>
          <w:color w:val="000000"/>
          <w:sz w:val="20"/>
        </w:rPr>
        <w:t>e.g</w:t>
      </w:r>
      <w:r>
        <w:rPr>
          <w:rFonts w:ascii="Times New Roman;serif" w:hAnsi="Times New Roman;serif"/>
          <w:b w:val="false"/>
          <w:color w:val="000000"/>
          <w:sz w:val="20"/>
        </w:rPr>
        <w:t xml:space="preserve">., they are not randomized controlled trials). As a result, while we believe certain publications provide helpful context, it is important to consider this information in light of the totality of available information. We believe the following publications provide additional helpful context regarding the mechanism of action: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article published in 2019 in </w:t>
      </w:r>
      <w:r>
        <w:rPr>
          <w:rFonts w:ascii="Times New Roman;serif" w:hAnsi="Times New Roman;serif"/>
          <w:b w:val="false"/>
          <w:i/>
          <w:color w:val="000000"/>
          <w:sz w:val="20"/>
        </w:rPr>
        <w:t xml:space="preserve">Frontiers in Neuroscience </w:t>
      </w:r>
      <w:r>
        <w:rPr>
          <w:rFonts w:ascii="Times New Roman;serif" w:hAnsi="Times New Roman;serif"/>
          <w:b w:val="false"/>
          <w:color w:val="000000"/>
          <w:sz w:val="20"/>
        </w:rPr>
        <w:t xml:space="preserve">summarized the neurobiological rationale underlying the mechanism of action for Vivistim Therapy (Engineer, Navzer, et al., </w:t>
      </w:r>
      <w:r>
        <w:rPr>
          <w:rFonts w:ascii="Times New Roman;serif" w:hAnsi="Times New Roman;serif"/>
          <w:b w:val="false"/>
          <w:i/>
          <w:color w:val="000000"/>
          <w:sz w:val="20"/>
        </w:rPr>
        <w:t>Targeted Vagus Nerve Stimulation for Rehabilitation After Stroke, Frontiers in Neuroscience</w:t>
      </w:r>
      <w:r>
        <w:rPr>
          <w:rFonts w:ascii="Times New Roman;serif" w:hAnsi="Times New Roman;serif"/>
          <w:b w:val="false"/>
          <w:color w:val="000000"/>
          <w:sz w:val="20"/>
        </w:rPr>
        <w:t>, Volume 13 (2019)). The article notes historical animal and human studies demonstrating links between neurological modulation and plasticity, which served as the basis for conducting our clinical trials. The article summarizes the mechanism of action, noting that stimulation of the vagus nerve triggers release of plasticity promoting neuromodulators in the brain, and that engagement of neuromodulators concurrent with motor training drives task-specific plasticity in the motor cortex to improve function. We supported this work and the authors of the article were employees of our company at the time of publication.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preclinical study published in 2018 in </w:t>
      </w:r>
      <w:r>
        <w:rPr>
          <w:rFonts w:ascii="Times New Roman;serif" w:hAnsi="Times New Roman;serif"/>
          <w:b w:val="false"/>
          <w:i/>
          <w:color w:val="000000"/>
          <w:sz w:val="20"/>
        </w:rPr>
        <w:t>Stroke</w:t>
      </w:r>
      <w:r>
        <w:rPr>
          <w:color w:val="000000"/>
        </w:rPr>
        <w:t xml:space="preserve"> </w:t>
      </w:r>
      <w:r>
        <w:rPr>
          <w:rFonts w:ascii="Times New Roman;serif" w:hAnsi="Times New Roman;serif"/>
          <w:b w:val="false"/>
          <w:color w:val="000000"/>
          <w:sz w:val="20"/>
        </w:rPr>
        <w:t xml:space="preserve">documented the use of paired vagus nerve stimulation to promote generalization, long-lasting recovery, and structural plasticity in motor networks in rats administered with ischemic lesions (Meyers, Eric et al., </w:t>
      </w:r>
      <w:r>
        <w:rPr>
          <w:rFonts w:ascii="Times New Roman;serif" w:hAnsi="Times New Roman;serif"/>
          <w:b w:val="false"/>
          <w:i/>
          <w:color w:val="000000"/>
          <w:sz w:val="20"/>
        </w:rPr>
        <w:t>Vagus Nerve Stimulation Enhances Stable Plasticity and Generalization of Stroke Recovery</w:t>
      </w:r>
      <w:r>
        <w:rPr>
          <w:rFonts w:ascii="Times New Roman;serif" w:hAnsi="Times New Roman;serif"/>
          <w:b w:val="false"/>
          <w:color w:val="000000"/>
          <w:sz w:val="20"/>
        </w:rPr>
        <w:t xml:space="preserve">, Stroke, Volume 49, Number 3, 710–717 (2018)). In the study, rats receiving vagus nerve stimulation paired with a trained behavioral task demonstrated better rehabilitative training with long-lasting recovery. The study noted that it provided some of the first evidence that vagus nerve stimulation paired with rehabilitative training after stroke can improve long-lasting recovery on a complex task, improve recovery on a simple motor task as compared to the same task without vagus nerve stimulation, and enhance structural plasticity in motor networks. We believe this study represents evidence of vagus nerve stimulation-directed plasticity as a potential treatment pathway. We did not provide support for this study but one of the authors was a consultant and shareholder of our company at the time of publication. This study did not use the Vivistim System.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strategy is designed to encourage Vivistim Therapy adoption at stroke centers and therapy sites through a coordinated, evidence-based approach. We sell the Vivistim System to customers, primarily stroke hospitals, in the United States, and our commercial organization is responsible for driving adoption of the Vivistim System through customer outreach, education, and relationship management activities. Our TMs and TDSs work collaboratively within each of our sales territories to create and build sustainable care programs that use Vivistim Therapy and drive adoption at hospitals. TMs sell the Vivistim System primarily to stroke hospitals and engage stroke interventionalists, neurosurgeons, neurologists, stroke program administrators and executives at hospitals to establish new, coordinated pathways for chronic stroke care. TDSs focus on outreach to therapy sites and provide general educational information regarding the clinical use of the Vivistim System. These activities are intended to facilitate customer adoption and utilization of the Vivistim System.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TMs generally have substantial experience in medical device markets that require program development, early-stage technology adoption, and/or neuromodulation expertise. Our TDSs are licensed occupational or physical therapists and generally have prior leadership roles or experience using Vivistim Therapy.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commercial efforts are currently focused on primary and comprehensive stroke centers, which are hospitals that have cross-functional teams with the capabilities to treat acute stroke at the highest level of care and in compliance with AHA guidelines. These centers see significant volumes of acute stroke patients and are typically surrounded by a network of therapy sites with neurorehabilitation capabilities, providing the infrastructure necessary for efficient implementation of Vivistim Therapy. We work with these stroke centers to establish Vivistim Therapy as a treatment option for stroke survivors. Over time, we believe these centers will naturally integrate Vivistim Therapy into standard care pathways for stroke survivors upon discharge and establish self-sustaining care programs that use Vivistim Therapy. According to data from the stroke center accreditation organizations, there were approximately 1,500 primary and comprehensive stroke centers in the United States as of December 2025. In addition, according to stroke claims data from Definitive Healthcare, approximately 70% of acute strokes in the United States are seen at 900 hospitals.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developed marketing programs to promote awareness of Vivistim Therapy among patients, caregivers and healthcare providers. Stroke survivors and their families interact with a diverse network of care providers, including stroke interventionalists, neurosurgeons, neurologists, physical medicine and rehabilitation physicians, occupational and physical therapists, stroke coordinators and nurses. Each of these providers can play a role in identifying and evaluating potential Vivistim Therapy candidates, and we directly engage each of these stakeholders through our direct sales force and awareness events, which include webinars for stroke survivors or healthcare professionals, therapy education summits targeted at healthcare professionals involved in chronic stroke care, and physician conferences and society meetings. We also educate neurologists and physical medicine and rehabilitation physicians in private practices and hospitals. In select territories, we also conduct targeted direct-to-patient digital advertising. We have also established a patient education team to assist prospective patients in learning about the therapy and connect them with relevant providers for further evaluation. These efforts are designed to establish and maintain a consistent funnel of chronic stroke patients who may seek a Vivistim System implant at one of our established centers.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Research &amp; Development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 to offering life-changing treatments for stroke survivors drives our passion for innovation through continuous research and development. Our research and development team has significant experience in designing innovative medical devices, including active implantable neuromodulation devices. We leverage our internal expertise, clinical insights and experience gained from developing the Vivistim System to assess and prioritize research and development initiatives.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focused on research and development efforts that can improve clinical outcomes, optimize patient experience, enhance physician usability, increase utilization, and increase patient engagement. Our near-term research and development activities are primarily directed toward continued technological advancement of the Vivistim System, and development of a next-generation Vivistim System with enhanced features.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our current commercial and development efforts are focused on chronic ischemic stroke survivors with moderate to severe upper extremity impairments, we believe the Vivistim System has the potential to address additional clinical indications within stroke recovery, including but not limited to lower extremity impairment and chronic hemorrhagic stroke. We intend to explore this potential over time, leveraging our research and development expertise to inform areas of investment and focus. Any expansion into new indications would require additional regulatory approvals and may involve additional clinical trials or modifications to the Vivistim System. There can be no assurance that such efforts will be successful.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research and development expenses were $6.5 million and $4.2 million, respectively.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Coverage and Reimbursement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sell the Vivistim System and its accessories to customers, primarily to stroke hospitals, in the United States. These customers in turn bill third-party payors for the cost required to treat each patient. Our device is treated as a general supply utilized in the implantation procedure and, if covered by third-party payors, is paid for as part of such procedure. The Vivistim System is typically implanted in the hospital outpatient setting, and all items and services paid under the Medicare hospital outpatient prospective payment system (OPPS) are assigned to payment groups called Ambulatory Payment Classifications (APCs), which group together items and services that are similar clinically and in terms of resource use. Effective January 1, 2026, CPT code 64568 is assigned to New Technology APC 1580 with a national average facility payment under OPPS of $45,000. Reimbursement for professional services performed by physicians are reported using CPT codes and based on a different payment methodology. Implantation of the Vivistim System falls under CPT Code 64568 (Incision for implantation of a cranial nerve (e.g., vagus) neurostimulator electrode array and pulse generator). Under the 2026 Medicare Physician Fee Schedule (MPFS), the national average physician payment is $663. Occupational or physical therapy services provided to patients using the Vivistim System are billed by therapy providers using standard therapy codes.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Coverage for Vivistim Therapy varies by payor. Because there are currently no national coverage determinations issued by the CMS or local coverage determinations by Medicare administrative contractors specific to Vivistim Therapy, coverage determinations are made on a case-by-case basis under medical necessity standards, without the need for prior authorization. Medicaid programs are funded by both federal and state governments, and coverage and reimbursement policies vary from state to state and from year to year. Effective July 1, 2023, the New York State Medicaid fee-for-service program covers FDA-cleared vagus nerve stimulator devices used for stroke therapy in conjunction with rehabilitation to recover function in hands and arms after an ischemic stroke. Currently, most commercial insurers have determined that Vivistim Therapy is experimental or investigational and therefore, not covered. Patients with commercial insurance, Medicaid, or Medicare Advantage generally require prior authorization. Our in-house market access team assists patients and providers throughout the prior authorization process, from preparing required documentation, submitting approval requests, and managing appeals when needed. Although the prior authorization process can take several weeks, based on our experience to date, we are confident that our support can help lead to prior authorization approvals for many patients. As part of our longer term strategy, our market access team will continue to engage with payors to communicate clinical and health economic data which may impact coverage policies. We believe that expanded payor coverage will facilitate broader patient access to Vivistim Therapy.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Manufacturing and Supply Chain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 manufacturers to manufacture the Vivistim System and accessories. We believe this strategy provides the expertise and capacity required to effectively and efficiently scale production based on demand, and helps to reduce our need for capital investment and reduce operational expenses. We believe the capacity of our current manufacturing and supply chain network is sufficient to meet anticipated demand and can be scaled to meet future demand.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carefully select our suppliers and require each of our suppliers to meet stringent technical and quality requirements that satisfy our product specifications. We employ a rigorous supplier assessment, qualification, and selection process that is aligned with FDA and International Organization for Standardization requirements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supported by internal policies and procedures. All critical suppliers are required to maintain quality systems compliant with applicable FDA regulations and international standards, including ISO 13485. We maintain oversight of these suppliers through supplier controls, routine audits, periodic reviews, qualification activities, quality agreements, and manufacturing record inspections.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critical components of the Vivistim System, such as the IPG and lead, are supplied to us from single sources that are qualified medical device contract manufacturers and suppliers. We seek to manage single-source supplier risk by regularly assessing the quality and capacity of our suppliers, implementing supply and quality control protocols where appropriate and actively managing lead times and inventory levels. We generally seek to maintain sufficient inventory levels to support continued operations in the event of supply interruptions or terminations and to enable us to find and qualify other sources of supply if necessary. We manage these inventory levels through contractual and operational controls and strategies. For example, we work with our suppliers on inventory forecasting based on anticipated future demand and monitoring production. We intend to evaluate alternative manufacturing and sourcing structures, such as dual- or second-sourcing and multi-site manufacturing, over time to strengthen our manufacturing and supply chain.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do not have long-term contracts with our suppliers, and our supply arrangements generally do not include minimum manufacturing or purchase obligations. For these arrangements, we primarily order products through the use of purchase orders, do not have any obligation to purchase any given quantity of products, and our suppliers generally have no obligation to sell to us or to manufacture for us any given quantity of our products or components of our systems. Certain supplier arrangements include non-cancelable purchase commitments and binding forecast obligations. For these arrangements, we primarily order products through the use of purchase orders that are generally non-cancelable once accepted by the respective supplier.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operate a distribution facility in Minnesota to warehouse and distribute our implant systems in the United States. We believe this facility is sufficient to meet our current and anticipated needs in the near term and that suitable additional space is available as needed to accommodate expansion of our operations and distribution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IPG Supply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supply agreements with Integer Holdings Corporation (Integer), pursuant to which Integer agreed to manufacture our IPG component for us. Our first supply agreement with Integer provides that we may order from Integer on a non-exclusive, purchase order basis with no minimum purchase requirements. The agreement includes, among other provisions, customary representations and warranties by the parties, ordering and payment and shipping terms, customary provisions with respect to the ownership of any intellectual property and customary confidentiality provisions. The agreement continues until termination by the parties. Either party may terminate the agreement upon written notice in the event of a material breach that is not cured within 30 days of the other party’s written notice of such breach; upon bankruptcy, insolvency or reorganization that has not been dismissed within 30 days after commencement; or in the event that the other party commits a crime, intentionally imparts material information or misappropriates intellectual property. In addition, we may terminate the agreement if Integer fails to meet our specifications or is unable to manufacture products, or for our convenience if we are current in our payment obligations to Integer.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further support our anticipated growth and IPG supply needs, we also entered into a second supply agreement (the IPG Supply Agreement), effective September 24, 2024, with Greatbatch Ltd., a subsidiary of Integer. The IPG Supply Agreement contains, among other provisions, customary representations and warranties by the parties, ordering and payment and shipping terms, customary provisions with respect to the ownership of any intellectual property created during the term of the IPG Supply Agreement, certain indemnification rights in favor of both parties, limitations of liability and customary confidentiality provisions, and minimum purchase requirements. The minimum purchase requirements are expected to commence in 2028. Under the minimum purchase requirements, we are obligated to purchase a high double-digit fixed percentage of our IPG supply requirements from Integer and must purchase a minimum number of IPGs from Integer per year. The aggregate minimum purchase obligation for the initial five-year period is approximately $5.8 million. The IPG Supply Agreement has an initial five-year term commencing upon the first commercial shipment of product, and will automatically renew for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one-year periods unless either party delivers a notice of non-renewal prior to the renewal date. Either party may terminate the IPG Supply Agreement upon written notice in the event of a material breach of the IPG Supply Agreement that is not cured within 60 days of the other party’s written notice of such breach, subject to certain conditions; or upon bankruptcy, insolvency or reorganization that has not been dismissed within 60 days after commencement. We may terminate the IPG Supply Agreement if Integer fails to adequately supply non-defective products, if the products are subject to repeating failures over time that fail to meet our specifications, or if Integer is unable to manufacture products for a specified period of time.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Vivistim System is the first and only FDA-approved solution for chronic ischemic stroke survivors with moderate to severe upper extremity impairments. While a range of therapies and tools are available to support post-stroke motor recovery in the sub-acute phase post-stroke, there are very limited options that address motor recovery in the chronic phase, and we do not believe we have any direct competitor for Vivistim Therapy at this time. For example, conventional treatment consists of physical or occupational therapy, which is generally performed in the sub-acute phase and has limited utility in the chronic phase. Stroke survivors may use rehabilitation therapy and/or assistive devices, such as splints, braces, orthoses, muscle stimulators or EEG-powered devices, in the chronic phase to attempt to improve their chronic stroke impairments, however, we are not aware of meaningful clinical evidence supporting their effectiveness or durability. Further, such therapy and assistive devices may be used in conjunction with Vivistim Therapy if desired.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differentiated in our approach because of our focus on care for chronic ischemic stroke survivors. We are developing the market for these survivors, and are engaging key stroke care stakeholders, including stroke interventionalists, neurosurgeons, neurologists, and therapists, through our specialized direct sales force. Overall, our position in our market is dependent upon a number of competitive factors, including: our market development efforts; our ability to establish chronic stroke programs and care pathways for stroke survivors; patient outcomes and demonstrated safety and efficacy in patients several years post-stroke, including from robust clinical trials; durability of functional improvement following treatment; a mechanism of action that enables restoration of native function, rather than assistance or compensation; ease of integration into standard therapy workflows; patient experience and product ease of use; and reimbursement and payor support.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industry that is subject to technological change and significantly affected by new product introductions and market activities of other industry participants. For example, industry participants include medical device manufacturers and robotics companies, including a significant number of companies focused on stroke prevention and acute stroke care. To the extent these companies decide to focus on longer term stroke care, particularly in the chronic phase, we may face increased competition. Many of these companies have longer, more established operating histories, and significantly greater name recognition and financial, technical, marketing, sales, distribution and other resources. In addition, certain companies have several competitive advantages, including significant scale and established relationships with healthcare providers and third-party payors. Irrespective of their current focus, we also compete with these companies for personnel, including qualified personnel that are necessary to grow our business, including TMs and TDSs.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Intellectual property, including patents, trade secrets, trademarks and copyrights, is important to our business. Our commercial success depends in part on our ability to obtain and maintain proprietary intellectual property protection for our current products as well as for future products, product development technologies, and know-how. Our commercial success also depends in part on our ability to operate without infringing the proprietary rights of others and to prevent others from infringing our proprietary rights. We seek to maintain our proprietary position by, among other means, filing United States and foreign patent applications to obtain issued patents with claims directed to our products, products in development, technology, inventions, and improvements that are important to the development and implementation of our business. We may also license from third parties certain patent rights and proprietary know-how that we believe to be necessary or useful to our business. Additionally, we protect our proprietary know-how that may not be patentable, and other confidential information, by maintaining and implementing appropriate policies and procedures with respect to secrecy and confidentiality. We are currently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seeking and maintaining patent protection in the United States and key foreign jurisdictions where we may market our products in the future, and plan to do so with respect to any of our future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patent portfolio includes a combination of patents and pending patent applications (i) solely owned by us, (ii) exclusively licensed from the University of Texas at Dallas (UT), and (iii) jointly owned by us and UT or owned by UT, in each case, exclusively licensed to us from UT.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owned patent estate contained 1 patent family comprising 1 issued U.S. patent, which was solely owned by us. This patent relates to electrode technology for the current Vivistim Therapy. The issued U.S. patent is expected to expire in 2039, after accounting for potentially available patent term adjustments or extensions and term-limiting effects of terminal disclaimers, and assuming payment of appropriate maintenance, renewal, annuity and other governmental fees.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exclusively licensed patent estate from UT contained 1 patent family comprising 12 issued U.S. patents, 13 issued foreign patents, 1 pending U.S. non-provisional patent application and 1 pending foreign patent application. These patents and patent applications relate to various aspects of the current Vivistim Therapy and primarily consist of method patents. The issued U.S. patents are expected to expire between 2029 and 2032, after accounting for potentially available patent term adjustments or extensions and term-limiting effects of terminal disclaimers, and assuming payment of appropriate maintenance, renewal, annuity and other governmental fees. Any patents that may issue from the pending U.S. patent applications are expected to expire in 2029, without accounting for potentially available patent term adjustments or extensions, term-limiting effects of terminal disclaimers and assuming payment of appropriate maintenance, renewal, annuity and other governmental fees. The issued foreign patents include one or more issued patents in jurisdictions such as Germany and the United Kingdom, and are expected to expire between 2029 and 2041, without accounting for potentially available patent term extensions and assuming payment of appropriate maintenance, renewal, annuity and other governmental fees. The pending foreign patent applications include one or more applications filed with the European Patent Office, and are expected to expire in 2029, without accounting for potentially available patent term adjustments or extensions and assuming payment of appropriate maintenance, renewal, annuity and other governmental fees.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Calculation of the expiration of issued patents is complex, varies by country and is based upon many factors. In most countries in which we file, including the United States, the patent term is 20 years from the earliest date of filing a non-provisional patent application. In the United States, the term of a patent may be reduced due to terminal disclaimer made to overcome a double patenting rejection, or may be lengthened by patent term adjustment, which permits patent term restoration as compensation for delays incurred at the USPTO during the patent prosecution process. The patent positions of companies like ours are generally uncertain and involve complex legal and factual questions. The relevant patent laws and their interpretation outside of the United States is also uncertain.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regarding the patents and pending patent applications (i) solely owned by us, (ii) exclusively licensed from the University of Texas at Dallas (UT), and (iii) jointly owned by us and UT or owned by UT, in each case, exclusively licensed to us from UT:</w:t>
      </w:r>
    </w:p>
    <w:tbl>
      <w:tblPr>
        <w:tblW w:w="10982"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320"/>
        <w:gridCol w:w="230"/>
        <w:gridCol w:w="231"/>
        <w:gridCol w:w="109"/>
        <w:gridCol w:w="109"/>
        <w:gridCol w:w="109"/>
        <w:gridCol w:w="714"/>
        <w:gridCol w:w="631"/>
        <w:gridCol w:w="546"/>
        <w:gridCol w:w="109"/>
        <w:gridCol w:w="109"/>
        <w:gridCol w:w="109"/>
        <w:gridCol w:w="565"/>
        <w:gridCol w:w="565"/>
        <w:gridCol w:w="491"/>
        <w:gridCol w:w="109"/>
        <w:gridCol w:w="109"/>
        <w:gridCol w:w="109"/>
        <w:gridCol w:w="295"/>
        <w:gridCol w:w="295"/>
        <w:gridCol w:w="296"/>
        <w:gridCol w:w="109"/>
        <w:gridCol w:w="109"/>
        <w:gridCol w:w="109"/>
        <w:gridCol w:w="445"/>
        <w:gridCol w:w="250"/>
        <w:gridCol w:w="251"/>
        <w:gridCol w:w="109"/>
        <w:gridCol w:w="109"/>
        <w:gridCol w:w="109"/>
        <w:gridCol w:w="315"/>
        <w:gridCol w:w="315"/>
        <w:gridCol w:w="316"/>
        <w:gridCol w:w="109"/>
        <w:gridCol w:w="109"/>
        <w:gridCol w:w="109"/>
        <w:gridCol w:w="365"/>
        <w:gridCol w:w="215"/>
        <w:gridCol w:w="30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 (Issued or Pending)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Application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Patent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Types (Devices, Methods or Devices and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 (Mobia, University of Texas at Dallas (UT) or jointly between Mobia and UT)</w:t>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12/485,040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9089707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13/651,349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8700145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14/252,727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9522272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 &amp; 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14/538,400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9522273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14/538,421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9474904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14/538,457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9504831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14/550,286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9522274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14/550,357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9533152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14/560,735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9333355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15/382,970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11638824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15/496,766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11116933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18/310,935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12151104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18/959,959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12778023.7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2766089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19192580.9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3593856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21214444.8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4032583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25186521.8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DE112009001024.5T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DE112009001024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12778023.7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2766089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19192580.9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3593856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21214444.8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12778023.7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2766089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19192580.9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3593856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21214444.8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4032583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2009267051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2009267051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Motor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 &amp; Mobia</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16/018,975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11167130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Mobia</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no active patent litigation involving any of our patents and we have not received any notices of any patent infringement.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and will continue to pursue trademark protection for our product branding. As of December 31, 2025 we owned 7 registered trademarks and had 1 pending trademark application in the United States and foreign jurisdictions, including the registered trademarks VIVISTIM and MICROTRANSPONDER (which is registered solely on the supplemental registry) in the United States and VIVISTIM in foreign jurisdictions.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the section titled “Risk Factors—Risks Related to Intellectual Property” for information regarding risks related to our intellectual property portfolio and their potential effect on us.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University of Texas at Dallas License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23, 2007, we entered into a license agreement with the Board of Regents of the University of Texas System, on behalf of UT, which was amended and restated on March 4, 2008 and again on April 28, 2014 (as amended and restated and subsequently amended, the License Agreement). Pursuant to the License Agreement, UT granted us an exclusive, worldwide and sublicensable (subject to prior approval by UT) license under certain UT patents and know-how relating to vagus nerve stimulation–based therapies or arising from research programs conducted by certain UT personnel and funded by us (collectively, the Licensed IP), to make, have made, copy, use, sell, offer for sale, make derivative works, import and transfer products and processes covered by or incorporating the Licensed IP.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UT retains the right to practice the Licensed IP for non-commercial research and educational purposes, with the right to sublicense through one tier to any successor of UT. We will solely own any improvements to the Licensed IP developed by us and UT will have the right to practice such improvements for non-commercial research and educational purposes. The License Agreement is subject to U.S. government march-in rights. We must obtain UT’s prior consent if we seek to sublicense our rights under the License Agreement to our affiliates or third parties.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must use reasonable efforts to develop and commercialize one or more licensed products or licensed processes. Pursuant to the License Agreement, we previously issued to UT an immaterial number of shares of our common stock and agreed to pay the patent prosecution fees associated with the licensed patents.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in accordance with the terms therein, the License Agreement shall continue until the expiration of the last-to-expire licensed patent, which is currently expected to expire in 2032. We have the right to terminate the License Agreement for convenience upon a specified period of prior written notice. UT may terminate the License Agreement if we commit a material breach and fail to cure such breach within a specified notice-and-cure period, including if we or our successor cease developing and marketing licensed products or licensed processes.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our operations are subject to extensive regulation by the U.S. Food and Drug Administration, or FDA, and other federal and state authorities in the United States. Our products are subject to regulation as medical devices in the United States under the Federal Food, Drug, and Cosmetic Act, or FDCA, as implemented and enforced by the FDA.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United States Regulation of Medical Devices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FDA Marketing Authorization Requirements</w:t>
      </w:r>
    </w:p>
    <w:p>
      <w:pPr>
        <w:pStyle w:val="TextBody"/>
        <w:bidi w:val="0"/>
        <w:spacing w:lineRule="auto" w:line="288" w:before="0" w:after="180"/>
        <w:jc w:val="left"/>
        <w:rPr/>
      </w:pPr>
      <w:r>
        <w:rPr>
          <w:rFonts w:ascii="Times New Roman;serif" w:hAnsi="Times New Roman;serif"/>
          <w:b w:val="false"/>
          <w:color w:val="000000"/>
          <w:sz w:val="20"/>
        </w:rPr>
        <w:t xml:space="preserve">Unless an exemption applies, each medical device commercially distributed in the United States requires either FDA clearance of a premarket notification submitted under Section 510(k) of the FDCA, approval of a premarket approval application, or PMA, or classification under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or QSR (and once it goes into effect in 2026, the Quality Management System Regulation, or QMSR, which amended the QSR), facility registration and product listing, reporting of adverse medical events, and truthful and non-misleading labeling, advertising, and promotional materials. Class II devices are subject to the FDA’s General Controls, and special controls as deemed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necessary by the FDA to ensure the safety and effectiveness of the device. These special controls can include performance standards, post-market surveillance, patient registries and FDA guidance documents.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510(k) Clearance Marketing Pathway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obtain 510(k) clearance, a company must submit to the FDA a premarket notification submission demonstrating that the proposed device is “substantially equivalent” to a legally marketed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and for medical device establishments. </w:t>
      </w:r>
    </w:p>
    <w:p>
      <w:pPr>
        <w:pStyle w:val="TextBody"/>
        <w:bidi w:val="0"/>
        <w:spacing w:lineRule="auto" w:line="288" w:before="0" w:after="180"/>
        <w:jc w:val="left"/>
        <w:rPr/>
      </w:pPr>
      <w:r>
        <w:rPr>
          <w:rFonts w:ascii="Times New Roman;serif" w:hAnsi="Times New Roman;serif"/>
          <w:b w:val="false"/>
          <w:color w:val="000000"/>
          <w:sz w:val="20"/>
        </w:rPr>
        <w:t xml:space="preserve">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which is a route to market for novel medical devices that are low to moderate risk and are not substantially equivalent to a predicate device.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such marketing authorization has been granted. Also, in these circumstances, the manufacturer may be subject to significant regulatory fines or penalties.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PMA Approval Pathway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party manufacturers’ or suppliers’ manufacturing facility or facilities to ensure compliance with the QSR. PMA applications are also subject to the payment of user fees, which are higher than in the 510(k) process.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 Novo Classification</w:t>
      </w:r>
    </w:p>
    <w:p>
      <w:pPr>
        <w:pStyle w:val="TextBody"/>
        <w:bidi w:val="0"/>
        <w:spacing w:lineRule="auto" w:line="288" w:before="0" w:after="180"/>
        <w:jc w:val="left"/>
        <w:rPr/>
      </w:pPr>
      <w:r>
        <w:rPr>
          <w:rFonts w:ascii="Times New Roman;serif" w:hAnsi="Times New Roman;serif"/>
          <w:b w:val="false"/>
          <w:color w:val="000000"/>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or FDASIA, manufacturers may request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directly without first submitting a 510(k) pre-market notification to the FDA and receiving a not-substantially-equivalent determination. </w:t>
      </w:r>
    </w:p>
    <w:p>
      <w:pPr>
        <w:pStyle w:val="TextBody"/>
        <w:bidi w:val="0"/>
        <w:spacing w:lineRule="auto" w:line="288" w:before="0" w:after="180"/>
        <w:jc w:val="left"/>
        <w:rPr/>
      </w:pPr>
      <w:r>
        <w:rPr>
          <w:rFonts w:ascii="Times New Roman;serif" w:hAnsi="Times New Roman;serif"/>
          <w:b w:val="false"/>
          <w:color w:val="000000"/>
          <w:sz w:val="20"/>
        </w:rPr>
        <w:t xml:space="preserve">Under FDASIA, FDA is required to classify the device within 120 days following receipt of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any modification that could significantly affect its safety or efficacy, or that would constitute a major change or modification in its intended use, will require a new 510(k) clearance or, depending on the modification, another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request or even PMA approval.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Clinical Trials</w:t>
      </w:r>
    </w:p>
    <w:p>
      <w:pPr>
        <w:pStyle w:val="TextBody"/>
        <w:bidi w:val="0"/>
        <w:spacing w:lineRule="auto" w:line="288" w:before="0" w:after="180"/>
        <w:jc w:val="left"/>
        <w:rPr/>
      </w:pPr>
      <w:r>
        <w:rPr>
          <w:rFonts w:ascii="Times New Roman;serif" w:hAnsi="Times New Roman;serif"/>
          <w:b w:val="false"/>
          <w:color w:val="000000"/>
          <w:sz w:val="20"/>
        </w:rPr>
        <w:t xml:space="preserve">Clinical trials are almost always required to support a PMA and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and are sometimes required to support a 510(k) submission. All clinical investigations of devices to determine safety and effectiveness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the sponsor, the FDA or the IRB could suspend or terminate a clinical trial at any time for various reasons, including a belief that the risks to study subjects outweigh the anticipated benefits.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Expedited Development and Review Programs</w:t>
      </w:r>
    </w:p>
    <w:p>
      <w:pPr>
        <w:pStyle w:val="TextBody"/>
        <w:bidi w:val="0"/>
        <w:spacing w:lineRule="auto" w:line="288" w:before="0" w:after="180"/>
        <w:jc w:val="left"/>
        <w:rPr/>
      </w:pPr>
      <w:r>
        <w:rPr>
          <w:rFonts w:ascii="Times New Roman;serif" w:hAnsi="Times New Roman;serif"/>
          <w:b w:val="false"/>
          <w:color w:val="000000"/>
          <w:sz w:val="20"/>
        </w:rPr>
        <w:t xml:space="preserve">Following passage of the 21st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The program is available for medical devices that meet certain eligibility criteria, including that the device provides more effective treatment or diagnosis of life-threatening or irreversibly debilitating diseases or conditions, and that: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more efficient and flexible clinical study design; and prioritized review of premarket submissions. When reviewing Breakthrough Device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Designation requests, the FDA may require a combination of literature or preliminary bench, animal, or clinical data to demonstrate a reasonable likelihood of clinical and technological success. Receiving a Breakthrough Device Designation from the FDA does not guarantee that the FDA will grant marketing authorization for the device.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Post-Market Regulation of Medical Devices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a product is placed on the market, numerous regulatory requirements continue to apply. These requirements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 listing and establishment registration, which helps facilitate FDA inspections and other regulatory 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QSR, which requires manufacturers, including third-party manufacturers, to follow stringent design, validation, testing, control, documentation and other quality assurance procedures during all aspects of the design and manufacturing process, and once it goes into effect, the QMSR;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labeling regulations and FDA prohibitions against the promotion of products for uncleared or unapproved use or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authorization of marketing of certain modifications that could significantly affect safety or effectiveness or that would constitute a major change in intended 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post-market restrictions or conditions, including post-market study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post-market surveillance regulations, which apply, when necessary, to protect the public health or to provide additional safety and effectiveness data for the medical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FDA’s recall authority, whereby it can ask, or under certain conditions order, device manufacturers to recall from the market a product that is in violation of governing laws and regulations;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regulations pertaining to voluntary recalls.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Manufacturing processes for medical devices are required to comply with the applicable portions of the QSR (and once it goes into effect, the QMSR), which cover the methods and the facilities and controls for the design, manufacture, testing, production, processes, controls, quality assurance, labeling, packaging, distribution, installation and servicing of finished devices intended for human use. The QSR and QMSR also require, among other things, maintenance of a device master file, device history file, and complaint files. Manufacturers are subject to periodic scheduled and unscheduled inspections by the FDA. Failure to maintain compliance with the QSR and, once in effect, the QMSR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warning letters, untitled letters, fines, injunctions, consent decrees and civil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recalls, withdrawals, or administrative detention or seizure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refusing or delaying requests for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classifications, or PMA approvals of new products or modified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withdrawing 510(k) clearances,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classifications, or PMA approvals that have already been granted;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refusal to grant export approvals for our products;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criminal prosecution.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Coverage and Reimbursement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the extent to which governmental authorities, private health insurers and other third-party payors provide coverage for and establish adequate reimbursement levels for the implantation procedures during which our products are used since our devices are generally not separately reimbursed by third-party payors. Failure by physicians, hospitals and other users of our products to obtain sufficient coverage and reimbursement from third-party payors for procedures in which our products are used, or adverse changes in government and private third-party payors’ coverage and reimbursement policies.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appropriate and medically necessary for the specific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 effective;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and hospitals for procedures during which our products are used. These updates could directly impact the demand for our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U.S. Healthcare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Device manufacturers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and transparency laws and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Civil Monetary Penalty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of 1996, or HIPAA, created additional federal civil and criminal statutes that prohibit, among other things, knowingly and willfully executing a scheme to defraud any healthcare benefit program. Similar to the federal Anti-Kickback Statute, a person or entity does not need to have actual knowledge of the healthcare fraud statute implemented under HIPAA or specific intent to violate it in order to have committed a violation.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CMS information related to payments or other transfers of value made to physicians (defined to include doctors, dentists, optometrists, podiatrists and chiropractors), certain non-physician practitioners (defined to include physician assistants, nurse practitioners, clinical nurse specialists, certified nurse anesthetists, anesthesiologist assistants and certified nurse midwives) and teaching hospitals, and further requires applicable manufacturers and applicable group purchasing organizations to report annually to CMS ownership and investment interests held by physicians and their immediate family members.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Similar state and local laws and regulations may also restrict business practices in the medical device industries, such as state anti-kickback and false claims laws, which may apply to business practices, including but not limited to, research, distribution, sales and marketing arrangements and claims involving healthcare items or services reimbursed by non-government third-party payors, including private insurers, or by patients themselves;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and regulations that require manufacturers to file reports relating to pricing and marketing information or which require tracking gifts and other remuneration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items of value provided to physicians, other healthcare providers and entities; and state and local laws that require the registration of sales representatives.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Violation of any of such laws or any other government regulations that apply may result in penalties, including, without limitation, civil and criminal penalties, damages, fines, additional reporting obligations, the curtailment or restructuring of operations, exclusion from participation in government healthcare programs and individual imprisonment.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United States is considering or has enacted a number of legislative and regulatory proposals to change the healthcare system in ways that could affect our ability to sell our products profitably. Among policy makers and payors in the United States,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implementation of the Affordable Care Act, or ACA, in the United States, for example, has changed healthcare financing and delivery by both governmental and private insurers substantially, and affected medical device manufacturers significantly. The ACA imposed,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For example, the Budget Control Act of 2011, among other things, reduced Medicare payments to providers, effective on April 1, 2013 and, due to subsequent legislative amendments to the statute, will remain in effect through 2032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Medicare Access and CHIP Reauthorization Act of 2015 repealed the formula by which Medicare made annual payment adjustments to physicians and replaced the former formula with fixed annual updates and a new system of incentive payments which began in 2019 that are based on various performance measures and physicians’ participation in alternative payment models, such as accountable care organizations. Each year, CMS updates Medicare payments for physician services and hospital outpatient services through rulemaking, based on parameters established under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Privacy and Security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Employees and Human Capital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167 full-time employees. None of our employees are represented by a labor union or covered under a collective bargaining agreement. We do employ a small number of temporary workers and consultants on an as needed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Facilities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offices in Austin, Texas and Newport Beach, California. In Austin, we lease approximately 350 square feet of office space pursuant to an amended lease agreement that expires on May 1, 2026. In Newport Beach, we lease approximately 4,200 square feet of office space pursuant to a lease agreement that expires on August 31, 2028.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operate a distribution facility in Fridley, Minnesota to warehouse and distribute our implant systems in the United States. We lease approximately 14,000 square feet of office and warehouse space pursuant to an amended lease agreement that expires on April 30, 2030.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facilities are sufficient to meet our current and anticipated needs in the near term and that additional or alternative space would be available as required in the future on commercially reasonable terms.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MANAGEMENT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Executive Officers, Significant Employees and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names, ages, and positions of our executive officers and directors as of the date hereof: </w:t>
      </w:r>
    </w:p>
    <w:tbl>
      <w:tblPr>
        <w:tblW w:w="9038" w:type="dxa"/>
        <w:jc w:val="left"/>
        <w:tblInd w:w="0" w:type="dxa"/>
        <w:tblLayout w:type="fixed"/>
        <w:tblCellMar>
          <w:top w:w="28" w:type="dxa"/>
          <w:left w:w="28" w:type="dxa"/>
          <w:bottom w:w="28" w:type="dxa"/>
          <w:right w:w="28" w:type="dxa"/>
        </w:tblCellMar>
      </w:tblPr>
      <w:tblGrid>
        <w:gridCol w:w="1459"/>
        <w:gridCol w:w="1278"/>
        <w:gridCol w:w="1297"/>
        <w:gridCol w:w="109"/>
        <w:gridCol w:w="109"/>
        <w:gridCol w:w="109"/>
        <w:gridCol w:w="130"/>
        <w:gridCol w:w="130"/>
        <w:gridCol w:w="131"/>
        <w:gridCol w:w="109"/>
        <w:gridCol w:w="109"/>
        <w:gridCol w:w="109"/>
        <w:gridCol w:w="1156"/>
        <w:gridCol w:w="1156"/>
        <w:gridCol w:w="1647"/>
      </w:tblGrid>
      <w:tr>
        <w:trPr/>
        <w:tc>
          <w:tcPr>
            <w:tcW w:w="145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Executive Officers and Significant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Foust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Nelson Bunker Curnes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(Doug) Ellison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Commercial Officer</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Prashant Rawat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Jordan Curnes II</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and Director</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Chase Leavitt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Dana G. Mead, Jr.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Casey Tansey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William (Bill) Harrington</w:t>
            </w:r>
            <w:r>
              <w:rPr>
                <w:rFonts w:ascii="Times New Roman;serif" w:hAnsi="Times New Roman;serif"/>
                <w:b w:val="false"/>
                <w:color w:val="000000"/>
                <w:sz w:val="13"/>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Cynthia Lucchese</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Maxwell Bikoff</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Edward Hanlon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(1)Member of the audit committee following this offering.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(2)Member of the compensation committee following this offering.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(3)Member of the corporate governance and nominating committee following this offering.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(4)Resigned from our board of directors immediately prior to the effectiveness of the registration statement of which this prospectus is a part.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Executive Officers and Significant Employees </w:t>
      </w:r>
    </w:p>
    <w:p>
      <w:pPr>
        <w:pStyle w:val="TextBody"/>
        <w:bidi w:val="0"/>
        <w:spacing w:lineRule="auto" w:line="288" w:before="0" w:after="180"/>
        <w:jc w:val="left"/>
        <w:rPr/>
      </w:pPr>
      <w:r>
        <w:rPr>
          <w:rFonts w:ascii="Times New Roman;serif" w:hAnsi="Times New Roman;serif"/>
          <w:b/>
          <w:i/>
          <w:color w:val="000000"/>
          <w:sz w:val="20"/>
        </w:rPr>
        <w:t>Richard Foust</w:t>
      </w:r>
      <w:r>
        <w:rPr>
          <w:color w:val="000000"/>
        </w:rPr>
        <w:t xml:space="preserve"> </w:t>
      </w:r>
      <w:r>
        <w:rPr>
          <w:rFonts w:ascii="Times New Roman;serif" w:hAnsi="Times New Roman;serif"/>
          <w:b w:val="false"/>
          <w:color w:val="000000"/>
          <w:sz w:val="20"/>
        </w:rPr>
        <w:t>has served as a member of our board of directors and as our Chief Executive Officer since January 2022 and has served as our President and Chief Executive Officer since October 2025. Mr. Foust co-founded 3D Strategy Consulting, LLC, a healthcare consulting services company, and has served as its Chief Executive Officer since February 2015. Mr. Foust previously served as the Chief Commercial Officer at Velano Vascular, Inc., a medical device company, from November 2018 to November 2020, and as the Chief Business Officer at Analyte Health, Inc., a digital health company, from May 2015 to February 2018. Mr. Foust also had escalating roles at Abbott Vascular, Inc., including Senior Director, West Area Endovascular Sales and Senior Director, Endovascular Global Marketing &amp; Bioresorbable Vascular Scaffold. Mr. Foust received a B.S. in Applied Physics from Emory University and an M.S. in Mechanical Engineering with a major in Bioengineering from Georgia Institute of Technology. We believe that Mr. Foust is qualified to serve on our board of directors due to his experience as our President and Chief Executive Officer, and due to his leadership and extensive business experience in the medical device industry.</w:t>
      </w:r>
    </w:p>
    <w:p>
      <w:pPr>
        <w:pStyle w:val="TextBody"/>
        <w:bidi w:val="0"/>
        <w:spacing w:lineRule="auto" w:line="288" w:before="0" w:after="180"/>
        <w:jc w:val="left"/>
        <w:rPr/>
      </w:pPr>
      <w:r>
        <w:rPr>
          <w:rFonts w:ascii="Times New Roman;serif" w:hAnsi="Times New Roman;serif"/>
          <w:b/>
          <w:i/>
          <w:color w:val="000000"/>
          <w:sz w:val="20"/>
        </w:rPr>
        <w:t>Nelson Bunker Curnes</w:t>
      </w:r>
      <w:r>
        <w:rPr>
          <w:color w:val="000000"/>
        </w:rPr>
        <w:t xml:space="preserve"> </w:t>
      </w:r>
      <w:r>
        <w:rPr>
          <w:rFonts w:ascii="Times New Roman;serif" w:hAnsi="Times New Roman;serif"/>
          <w:b w:val="false"/>
          <w:color w:val="000000"/>
          <w:sz w:val="20"/>
        </w:rPr>
        <w:t>has served as a member of our board of directors since 2009 and as our Chief Financial Officer since September 2020. Mr. Curnes previously served as the Chief Operating Officer at TEGA Technologies, LLC from June 2015 to January 2016. Mr. Curnes also had escalating roles at The Boston Consulting Group including Principal and Project Leader from August 2010 to March 2015. Mr. Curnes received a B.S. in Mechanical Engineering from the University of Notre Dame and an M.B.A. from the Fuqua School of Business at Duke University. Mr. Curnes expects to resign from our board of directors prior to the closing of this offering.</w:t>
      </w:r>
    </w:p>
    <w:p>
      <w:pPr>
        <w:pStyle w:val="TextBody"/>
        <w:bidi w:val="0"/>
        <w:spacing w:lineRule="auto" w:line="288" w:before="0" w:after="180"/>
        <w:jc w:val="left"/>
        <w:rPr/>
      </w:pPr>
      <w:r>
        <w:rPr>
          <w:rFonts w:ascii="Times New Roman;serif" w:hAnsi="Times New Roman;serif"/>
          <w:b/>
          <w:i/>
          <w:color w:val="000000"/>
          <w:sz w:val="20"/>
        </w:rPr>
        <w:t>Douglas (Doug) Ellison</w:t>
      </w:r>
      <w:r>
        <w:rPr>
          <w:color w:val="000000"/>
        </w:rPr>
        <w:t xml:space="preserve"> </w:t>
      </w:r>
      <w:r>
        <w:rPr>
          <w:rFonts w:ascii="Times New Roman;serif" w:hAnsi="Times New Roman;serif"/>
          <w:b w:val="false"/>
          <w:color w:val="000000"/>
          <w:sz w:val="20"/>
        </w:rPr>
        <w:t xml:space="preserve">has served as our Chief Commercial Officer since January 2023. Previously, Mr. Ellison was Director of Hybrid Therapies at AtriCure, Inc. (Nasdaq: ATRC), a medical device company, from September 2019 to December 2022, overseeing all commercial activities for certain of its product line, and the Vice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of Sales at SentreHEART, Inc. from April 2012 to September 2019, building out its sales organization and developing its sales process. Mr. Ellison received a B.S. in Engineering from Purdue University. </w:t>
      </w:r>
    </w:p>
    <w:p>
      <w:pPr>
        <w:pStyle w:val="TextBody"/>
        <w:bidi w:val="0"/>
        <w:spacing w:lineRule="auto" w:line="288" w:before="0" w:after="180"/>
        <w:jc w:val="left"/>
        <w:rPr/>
      </w:pPr>
      <w:r>
        <w:rPr>
          <w:rFonts w:ascii="Times New Roman;serif" w:hAnsi="Times New Roman;serif"/>
          <w:b/>
          <w:i/>
          <w:color w:val="000000"/>
          <w:sz w:val="20"/>
        </w:rPr>
        <w:t>Prashant Rawat</w:t>
      </w:r>
      <w:r>
        <w:rPr>
          <w:color w:val="000000"/>
        </w:rPr>
        <w:t xml:space="preserve"> </w:t>
      </w:r>
      <w:r>
        <w:rPr>
          <w:rFonts w:ascii="Times New Roman;serif" w:hAnsi="Times New Roman;serif"/>
          <w:b w:val="false"/>
          <w:color w:val="000000"/>
          <w:sz w:val="20"/>
        </w:rPr>
        <w:t>has served as our Chief Operating Officer since June 2022. Previously, Mr. Rawat was the Chief Operating Officer at Mainstay Medical International plc, a medical device firm, from July 2010 to June 2021. Mr. Rawat received a Bachelor of Engineering in Electronics from the Maharaja Sayajirao University of Baroda and an M.S. in Electrical Engineering and Applied Physics at Case Western Reserve University.</w:t>
      </w:r>
    </w:p>
    <w:p>
      <w:pPr>
        <w:pStyle w:val="TextBody"/>
        <w:bidi w:val="0"/>
        <w:spacing w:lineRule="auto" w:line="288" w:before="0" w:after="180"/>
        <w:jc w:val="left"/>
        <w:rPr/>
      </w:pPr>
      <w:r>
        <w:rPr>
          <w:rFonts w:ascii="Times New Roman;serif" w:hAnsi="Times New Roman;serif"/>
          <w:b/>
          <w:i/>
          <w:color w:val="000000"/>
          <w:sz w:val="20"/>
        </w:rPr>
        <w:t>Thomas Jordan Curnes II</w:t>
      </w:r>
      <w:r>
        <w:rPr>
          <w:color w:val="000000"/>
        </w:rPr>
        <w:t xml:space="preserve"> </w:t>
      </w:r>
      <w:r>
        <w:rPr>
          <w:rFonts w:ascii="Times New Roman;serif" w:hAnsi="Times New Roman;serif"/>
          <w:b w:val="false"/>
          <w:color w:val="000000"/>
          <w:sz w:val="20"/>
        </w:rPr>
        <w:t>is a co-founder of the Company and has served as a member of our board of directors since 2007. Mr. Curnes previously served as our President from March 2007 to October 2025. Mr. Curnes started his career as staff consultant at Arthur Andersen LLP and served as an associate consultant at Huron Consulting Group. Mr. Curnes received a B.B.A. in Finance from the University of Notre Dame and an M.B.A. from the Fuqua School of Business at Duke University. Mr. Curnes expects to resign from our board of directors prior to the closing of this offering.</w:t>
      </w:r>
    </w:p>
    <w:p>
      <w:pPr>
        <w:pStyle w:val="TextBody"/>
        <w:bidi w:val="0"/>
        <w:spacing w:lineRule="auto" w:line="288" w:before="0" w:after="180"/>
        <w:jc w:val="left"/>
        <w:rPr/>
      </w:pPr>
      <w:r>
        <w:rPr>
          <w:rFonts w:ascii="Times New Roman;serif" w:hAnsi="Times New Roman;serif"/>
          <w:b/>
          <w:i/>
          <w:color w:val="000000"/>
          <w:sz w:val="20"/>
        </w:rPr>
        <w:t>Chase Leavitt</w:t>
      </w:r>
      <w:r>
        <w:rPr>
          <w:color w:val="000000"/>
        </w:rPr>
        <w:t xml:space="preserve"> </w:t>
      </w:r>
      <w:r>
        <w:rPr>
          <w:rFonts w:ascii="Times New Roman;serif" w:hAnsi="Times New Roman;serif"/>
          <w:b w:val="false"/>
          <w:color w:val="000000"/>
          <w:sz w:val="20"/>
        </w:rPr>
        <w:t>has served as our General Counsel and Corporate Secretary since February 2026. Previously, Mr. Leavitt served as General Counsel and Corporate Secretary of Oncternal Therapeutics, Inc., a publicly traded biotechnology company, from April 2021 to June 2025. Mr. Leavitt also served as General Counsel and Corporate Secretary of Lineage Cell Therapeutics, Inc. (NYSE: LCTX), a publicly traded biotechnology company, from May 2019 to April 2021. Mr. Leavitt previously served as Vice President of Legal Affairs of Tang Capital Management, LLC, a life sciences-focused investment company, and its affiliate Odonate Therapeutics, Inc., a publicly traded pharmaceutical company, from June 2018 to May 2019. Mr. Leavitt had escalating roles at Switch, Inc., a technology company, from 2014 to 2018, most recently as Deputy General Counsel through the company’s initial public offering. Mr. Leavitt was a corporate attorney at Latham &amp; Watkins LLP from 2007 to 2014. Mr. Leavitt received a B.S. in Business Administration and a J.D. from the University of Southern California and is admitted to practice law in the States of California, Washington, and Texas.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Non-Employee Directors </w:t>
      </w:r>
    </w:p>
    <w:p>
      <w:pPr>
        <w:pStyle w:val="TextBody"/>
        <w:bidi w:val="0"/>
        <w:spacing w:lineRule="auto" w:line="288" w:before="0" w:after="180"/>
        <w:jc w:val="left"/>
        <w:rPr/>
      </w:pPr>
      <w:r>
        <w:rPr>
          <w:rFonts w:ascii="Times New Roman;serif" w:hAnsi="Times New Roman;serif"/>
          <w:b/>
          <w:i/>
          <w:color w:val="000000"/>
          <w:sz w:val="20"/>
        </w:rPr>
        <w:t>Dana G. Mead, Jr.</w:t>
      </w:r>
      <w:r>
        <w:rPr>
          <w:color w:val="000000"/>
        </w:rPr>
        <w:t xml:space="preserve"> </w:t>
      </w:r>
      <w:r>
        <w:rPr>
          <w:rFonts w:ascii="Times New Roman;serif" w:hAnsi="Times New Roman;serif"/>
          <w:b w:val="false"/>
          <w:color w:val="000000"/>
          <w:sz w:val="20"/>
        </w:rPr>
        <w:t xml:space="preserve">has served as a member of our board of directors since October 2024 and as the Chair of our board of directors since November 2025. In addition to serving on our board of directors, Mr. Mead has served on the board of directors of Pulmonx Corporation (Nasdaq: LUNG), a commercial-stage medical technology company, since 2010 and as the Chair of its board since 2019, where he also serves on its audit committee. Mr. Mead has also served on the boards of directors of Inspire Medical Systems, Inc. (NYSE: INSP), a medical technology company, since 2008, where he serves on its audit committee and quality, product supply, and technology committee, Cerapedics Inc., a global orthobiologics company, since March 2023, and Calyxo, Inc., a medical device company, since October 2025. Mr. Mead was previously the Chief Executive Officer, President and director of HeartFlow, Inc. (Nasdaq: HTFL), a medical technology company, from May 2019 to February 2021. From November 2016 to May 2019, Mr. Mead served as President and Chief Executive Officer of Beaver-Visitec International, Inc., a surgical device developer and manufacturer. Mr. Mead received a B.A. from Lafayette College and an M.B.A. from the University of Southern California. We believe that Mr. Mead is qualified to serve as a member of our board of directors because of his service on other medical technology company boards, his broad experience in the healthcare industry and the historical knowledge and continuity he brings to our board of directors. </w:t>
      </w:r>
    </w:p>
    <w:p>
      <w:pPr>
        <w:pStyle w:val="TextBody"/>
        <w:bidi w:val="0"/>
        <w:spacing w:lineRule="auto" w:line="288" w:before="0" w:after="180"/>
        <w:jc w:val="left"/>
        <w:rPr/>
      </w:pPr>
      <w:r>
        <w:rPr>
          <w:rFonts w:ascii="Times New Roman;serif" w:hAnsi="Times New Roman;serif"/>
          <w:b/>
          <w:i/>
          <w:color w:val="000000"/>
          <w:sz w:val="20"/>
        </w:rPr>
        <w:t>Casey Tansey</w:t>
      </w:r>
      <w:r>
        <w:rPr>
          <w:color w:val="000000"/>
        </w:rPr>
        <w:t xml:space="preserve"> </w:t>
      </w:r>
      <w:r>
        <w:rPr>
          <w:rFonts w:ascii="Times New Roman;serif" w:hAnsi="Times New Roman;serif"/>
          <w:b w:val="false"/>
          <w:color w:val="000000"/>
          <w:sz w:val="20"/>
        </w:rPr>
        <w:t xml:space="preserve">has served as a member of our board of directors since June 2022. Since 2005, he has served as a General Partner of U.S. Venture Partners, a venture capital firm. From 2001 until 2004, Mr. Tansey served as the Chief Executive Officer and President of Epicor Medical, Inc., a medical device company. Prior to Epicor Medical, Mr. Tansey was Chief Executive Officer and President of Heartport, Inc., a medical device company, which is now part of the Johnson &amp; Johnson family of companies. Prior to that, he was with the cardiovascular division at Baxter Edwards, a medical technology company, for nearly ten years, holding various sales and marketing positions. Mr. Tansey currently serves on the boards of directors of Inspire Medical Systems, Inc. (NYSE: INSP), a medical technology company, where he also serves on its compensation committee, HeartFlow, Inc. (Nasdaq: HTFL), a commercial-stage medical technology company, and Shoulder Innovations (NYSE: SI), a commercial-stage medical technology company. He also serves on the board of directors for a number of U.S. Venture Partners’ portfolio of private companies. Mr. Tansey received a B.S. and an M.B.A. from the Notre Dame de Namur University. We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believe that Mr. Tansey is qualified to serve as a member of our board of directors because of his extensive experience as a venture capital investor and as a member of the boards of directors of multiple companies in the medical sector. </w:t>
      </w:r>
    </w:p>
    <w:p>
      <w:pPr>
        <w:pStyle w:val="TextBody"/>
        <w:bidi w:val="0"/>
        <w:spacing w:lineRule="auto" w:line="288" w:before="0" w:after="180"/>
        <w:jc w:val="left"/>
        <w:rPr/>
      </w:pPr>
      <w:r>
        <w:rPr>
          <w:rFonts w:ascii="Times New Roman;serif" w:hAnsi="Times New Roman;serif"/>
          <w:b/>
          <w:i/>
          <w:color w:val="000000"/>
          <w:sz w:val="20"/>
        </w:rPr>
        <w:t>William (Bill) Harrington, M.D.</w:t>
      </w:r>
      <w:r>
        <w:rPr>
          <w:color w:val="000000"/>
        </w:rPr>
        <w:t xml:space="preserve"> </w:t>
      </w:r>
      <w:r>
        <w:rPr>
          <w:rFonts w:ascii="Times New Roman;serif" w:hAnsi="Times New Roman;serif"/>
          <w:b w:val="false"/>
          <w:color w:val="000000"/>
          <w:sz w:val="20"/>
        </w:rPr>
        <w:t xml:space="preserve">has served as a member of our board of directors since June 2022. Dr. Harrington has also served as a Managing Partner at Osage University Partners since 2012, where he oversees investing activities across biotechnology and medical device industries. He currently serves on the boards of directors of Neuros Medical, Inc., Hyalex Orthopedics, Inc., Transposon Therapeutics, Inc. and MediSix Therapeutics Pte. Ltd. Previously, he served on the board of directors of Nevro Corp., a medical device company. Dr. Harrington received a B.S. from Tufts University, an M.D. from Harvard Medical School, and an M.B.A. from the Haas School of Business at University of California, Berkeley. We believe Dr. Harrington is qualified to serve as a member of our board of directors because of his extensive experience as a venture capital investor and as a member of the boards of directors of multiple companies in the medical device industry. </w:t>
      </w:r>
    </w:p>
    <w:p>
      <w:pPr>
        <w:pStyle w:val="TextBody"/>
        <w:bidi w:val="0"/>
        <w:spacing w:lineRule="auto" w:line="288" w:before="0" w:after="180"/>
        <w:jc w:val="left"/>
        <w:rPr/>
      </w:pPr>
      <w:r>
        <w:rPr>
          <w:rFonts w:ascii="Times New Roman;serif" w:hAnsi="Times New Roman;serif"/>
          <w:b/>
          <w:i/>
          <w:color w:val="000000"/>
          <w:sz w:val="20"/>
        </w:rPr>
        <w:t>Cynthia Lucchese</w:t>
      </w:r>
      <w:r>
        <w:rPr>
          <w:color w:val="000000"/>
        </w:rPr>
        <w:t xml:space="preserve"> </w:t>
      </w:r>
      <w:r>
        <w:rPr>
          <w:rFonts w:ascii="Times New Roman;serif" w:hAnsi="Times New Roman;serif"/>
          <w:b w:val="false"/>
          <w:color w:val="000000"/>
          <w:sz w:val="20"/>
        </w:rPr>
        <w:t xml:space="preserve">has served as a member of our board of directors since April 2024. Ms. Lucchese served as the Chief Strategy Officer of Penske Entertainment Corp., a subsidiary of Penske Corporation, from November 2020 to February 2023, and as the Chief Administrative Officer and Chief Financial Officer of Hulman &amp; Company (acquired by Penske Corporation) from November 2014 to November 2020. Prior to this she was the Senior Vice President and Chief Financial Officer of Hillenbrand, Inc. (NYSE: HI), a company with multiple brands that serve a range of industries across the globe, from 2008 to 2014. She also served as the Senior Vice President and Chief Financial Officer of Thoratec Corporation, a medical device company, from 2005 to 2007, and she held various senior financial positions with Guidant Corporation, a formerly public medical device company, from 1994 to 2005. Since October 2022, Ms. Lucchese has also served on the board of directors of The Cooper Companies, Inc. (Nasdaq: COO), a global medical device and healthcare company, where she currently serves as the chair of the corporate governance and nominating committee and a member of the organization and compensation committee. Ms. Lucchese previously served on the boards of directors of Inari Medical, Inc., a formerly public medical device company, from November 2019 to February 2025, where she served as the chair of its nominating &amp; corporate governance committee and its audit committee; Hanger, Inc., a formerly public medical device and services company, from 2015 to October 2022, where she served on its audit and compensation committees; Intersect ENT, Inc., a formerly public medical device company, from 2014 to May 2022, where she served as the chair of its audit committee and a member of its nominating &amp; corporate governance committee; and Brightpoint, Inc., a formerly public company, from 2009 to 2012, where she was the chair of its audit committee and a member of its nominating &amp; corporate governance committee. She also served on the Board of Trustees of Indiana University from December 2021 to June 2025, where she served as vice chair of the board and chair of the finance and audit committee. Ms. Lucchese received a B.S. in accounting and an M.B.A. from Indiana University, Kelley School of Business. We believe Ms. Lucchese is qualified to serve as a member of our board of directors because of her extensive experience as a board member of public companies and experience with the medical device industry. </w:t>
      </w:r>
    </w:p>
    <w:p>
      <w:pPr>
        <w:pStyle w:val="TextBody"/>
        <w:bidi w:val="0"/>
        <w:spacing w:lineRule="auto" w:line="288" w:before="0" w:after="180"/>
        <w:jc w:val="left"/>
        <w:rPr/>
      </w:pPr>
      <w:r>
        <w:rPr>
          <w:rFonts w:ascii="Times New Roman;serif" w:hAnsi="Times New Roman;serif"/>
          <w:b/>
          <w:i/>
          <w:color w:val="000000"/>
          <w:sz w:val="20"/>
        </w:rPr>
        <w:t>Maxwell Bikoff</w:t>
      </w:r>
      <w:r>
        <w:rPr>
          <w:color w:val="000000"/>
        </w:rPr>
        <w:t xml:space="preserve"> </w:t>
      </w:r>
      <w:r>
        <w:rPr>
          <w:rFonts w:ascii="Times New Roman;serif" w:hAnsi="Times New Roman;serif"/>
          <w:b w:val="false"/>
          <w:color w:val="000000"/>
          <w:sz w:val="20"/>
        </w:rPr>
        <w:t xml:space="preserve">has served as a member of our board of directors since March 2025. Mr. Bikoff is a managing director at Longitude Capital, which he joined in 2016, focusing on investments in medical technologies and solutions. Mr. Bikoff served on the board of directors of Kestra Medical Technologies (Nasdaq: KMTS), a commercial-stage, wearable medical device and digital healthcare company, from July 2024 to September 2025, and has served on the board of directors of Polares Medical, a clinical-stage medical device company, since June 2020. Mr. Bikoff previously served as a board observer at Amphora Medical (which has since been acquired), Bolt Medical (which has since been acquired), Ceribell (Nasdaq: CBLL), Eargo (a formerly public medical device company), Endogenex, FIRE1, LimFlow (which has since been acquired), Nalu Medical, and RxSight (Nasdaq: RXST). He was actively involved in Longitude’s investments in Axonics Modulation Technologies (Nasdaq: AXNX) and PROCEPT BioRobotics (Nasdaq: PRCT). Mr. Bikoff held a series of strategy, finance, and operating roles at Cardinal Health from 2010 to 2016, including director of Marketing, North America for a portfolio of cardiovascular devices from 2014 to 2016. Mr. Bikoff began his career in Deloitte Consulting’s Life Sciences Strategy practice and received a B.S.E. in Biomedical Engineering from Duke University. We believe Mr. Bikoff is qualified to serve as a member of our board of directors based on his background in biomedical engineering and prior experience as a member of the boards of directors of a number of healthcare companies.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i/>
          <w:color w:val="000000"/>
          <w:sz w:val="20"/>
        </w:rPr>
        <w:t>Edward Hanlon</w:t>
      </w:r>
      <w:r>
        <w:rPr>
          <w:color w:val="000000"/>
        </w:rPr>
        <w:t xml:space="preserve"> </w:t>
      </w:r>
      <w:r>
        <w:rPr>
          <w:rFonts w:ascii="Times New Roman;serif" w:hAnsi="Times New Roman;serif"/>
          <w:b w:val="false"/>
          <w:color w:val="000000"/>
          <w:sz w:val="20"/>
        </w:rPr>
        <w:t>has served as a member of our board of directors since March 2025. Mr. Hanlon is an investment director at Gilde Healthcare which he joined in February 2020, overseeing investing activities across clinical-stage and growth-stage companies in the medical device industry. Previously, Mr. Hanlon was a senior analyst at Health Advances from September 2017 to February 2020. Mr. Hanlon has served as a member of the board of directors of VS3 Medical, Inc., a medical device company, since February 2025 and previously served as a board observer at Shoulder Innovations (NYSE: SI) from February 2023 to July 2025. Mr. Hanlon received a B.S. in Biology from Duke University. Mr. Hanlon expects to resign from our board of directors prior to the closing of this offering.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Thomas Jordan Curnes II, our co-founder and a member of our board of directors, is the brother of Nelson Bunker Curnes, our Chief Financial Officer and a member of our board of directors. Aside from the foregoing relationship, there are no family relationships among any of our executive officers or directors.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Board Composition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Director Independence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determined that Mr. Bikoff, Mr. Hanlon, Dr. Harrington, Ms. Lucchese, Mr. Mead and Mr. Tansey qualify as “independent” directors in accordance with the listing rules (the Listing Rules) of Nasdaq. Mr. Foust, Mr. Thomas Jordan Curnes II and Mr. Nelson Bunker Curnes are not considered independent by virtue of their positions as president and chief executive officer, co-founder, and chief financial officer, respectively. Under the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Each of Mr. Thomas Jordan Curnes II, Mr. Nelson Bunker Curnes and Mr. Hanlon expects to resign from our board of directors prior to the closing of this offering. As a result, following this offering we expect that five of our six directors will be “independent” directors in accordance with the Listing Rules.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Classified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Following this offering, our directors will be divided among the three classes as follows: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Class I directors will be Mr. Foust and Mr. Mead, and their terms will expire at the annual meeting of stockholders to be held in 2027;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Class II directors will be Mr. Bikoff and Dr. Harrington, and their terms will expire at the annual meeting of stockholders to be held in 2028;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Class III directors will be Ms. Lucchese and Mr. Tansey, and their terms will expire at the annual meeting of stockholders to be held in 2029.</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Leadership Structure of the Board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and corporate governance guidelines to be in place immediately prior to the consummation of this offering will provide our board of directors with flexibility to combine or separate the positions of Chair of the board of directors and Chief Executive Officer and to implement a lead independent director in accordance with its determination regarding which structure would be in the best interests of our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Role of Board in Risk Oversight Process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strategic risks facing us. Throughout the year, senior management reviews these strategic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company-wide and information security risk assessment processes, our major financial risk exposures, regulatory compliance, and the steps our management has taken to monitor and control these risks and exposures. The audit committee then reviews these matters with the full board of directors as part of the audit committee’s reports at regular board meetings. The audit committee also approves or disapproves any related-party transactions. Our nominating and corporate governance committee monitors the effectiveness of our corporate governance guidelines and risks related to environmental, social, and governance issues and oversees management succession planning. Our compensation committee assesses and monitors whether any of our compensation policies and programs has the potential to encourage excessive risk-taking.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has a written charter that satisfies the applicable rules and regulations of the Securities and Exchange Commission and Listing Rules, which we will post on our website at www.mobia.com upon the completion of this offering. Information contained on, or that can be accessible through, our website is not a part of this prospectus and the inclusion of our website address in this prospectus is an inactive textual reference only.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Audit Committee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oversees our corporate accounting and financial reporting process. Among other matters, the audit committee is responsible for: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appointing, compensating, retaining, evaluating, terminating, and overseeing our independent registered public accounting firm;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discussing with our independent registered public accounting firm their independence from management;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reviewing with our independent registered public accounting firm the scope and results of their audit;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approving all audit and permissible non-audit services to be performed by our independent registered public accounting firm;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overseeing the financial reporting process and discussing with management and our independent registered public accounting firm the interim and annual financial statements that we file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monitoring our accounting principles, accounting policies, financial and accounting controls, and compliance with legal and regulatory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our policies on risk assessment and risk strategy and management, including risk policies and risk mitigation strategies by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related party transactions;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procedures for the confidential anonymous submission of concerns regarding questionable accounting, internal controls, or auditing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committee consists of Ms. Lucchese, Mr. Bikoff, and Dr. Harrington. Our board of directors has determined that all members are independent under the Listing Rules and Rule 10A-3(b)(1) of the Exchange Act. The chair of our audit committee is Ms. Lucchese. Our board of directors has determined that Ms. Lucchese is an “audit committee financial expert” as such term is currently defined in Item 407(d)(5) of Regulation S-K. Our board of directors has also determined that each member of our audit committee can read and understand fundamental financial statements, in accordance with applicable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oversees policies relating to compensation and benefits of our officers and employees. Among other matters, the compensation committee is responsible for: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or recommending that our board of directors approve, the compensation of our Chief Executive Officer and executive officers;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appointing and overseeing any compensation consultants;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or making recommendations to our board of directors regarding our incentive compensation and equity-based plans;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of directors with respect to director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discussing annually with management our “Compensation Discussion and Analysis” disclosure if and to the extent then required by SEC rules;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preparing the compensation committee report if and to the extent then required by SEC rules.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consists of Ms. Tansey, Dr. Harrington, and Mr. Mead. Our board of directors has determined that all members are independent under the Listing Rules and are non-employee directors, as defined by Rule 16b-3 promulgated under the Exchange Act. The chair of our compensation committee is Mr. Tansey.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oversees policies relating to our corporate governance. Among other matters, the nominating and corporate governance committee is responsible for: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identifying individuals qualified to become members of our board of directors, consistent with criteria approved by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with respect to management succession planning;</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evaluating the overall effectiveness of our board of directors and its committees;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developments in corporate governance compliance and developing and recommending to our board of directors a set of corporate governance guidelines and principles.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Dr. Harrington, Mr. Bikoff, and Ms. Lucchese. Our board of directors has determined that all members are independent under the Listing Rules. The chair of our nominating and corporate governance committee is Dr. Harrington.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our board of directors adopted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which will be effective upon the completion of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full text of our code of business conduct and ethics will be posted on our website at www.mobia.com upon the completion of this offering. The audit committee of our board of directors will be responsible for overseeing our code of business conduct and ethics and any waivers applicable to any director, executive officer, or employee. We intend to disclose any future material amendments of our code of business conduct and ethics, or waivers of such provisions applicable to our directors, officers, and employees, including our principal executive officer, principal financial officer, principal accounting officer or controller, or persons performing similar functions, and agents and representatives, on our website identified above or in public filings. Information contained on, or that can be accessible through, our website is not a part of this prospectus and the inclusion of our website address in this prospectus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EXECUTIVE AND DIRECTOR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discusses the material components of the executive compensation program for our named executive officers who are set forth in the 2025 Summary Compensation Table below. We are an “emerging growth company,” within the meaning of the JOBS Act, and have elected to comply with the reduced compensation disclosure requirements available to emerging growth companies under the JOBS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named executive officers and their positions were: </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Richard Foust, Chief Executive Officer and President;</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Prashant Rawat, Chief Operating Officer; and</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Douglas (Doug) Ellison, Chief Commercial Officer.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continue to update, in accordance with the rules and regulations of the SEC, information in this section regarding the compensation of our named executive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2025 Summary Compensation 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compensation earned with respect to the fiscal year ended December 31, 2025 by our named executive officers:</w:t>
      </w:r>
    </w:p>
    <w:tbl>
      <w:tblPr>
        <w:tblW w:w="10205" w:type="dxa"/>
        <w:jc w:val="left"/>
        <w:tblInd w:w="0" w:type="dxa"/>
        <w:tblLayout w:type="fixed"/>
        <w:tblCellMar>
          <w:top w:w="28" w:type="dxa"/>
          <w:left w:w="28" w:type="dxa"/>
          <w:bottom w:w="28" w:type="dxa"/>
          <w:right w:w="28" w:type="dxa"/>
        </w:tblCellMar>
      </w:tblPr>
      <w:tblGrid>
        <w:gridCol w:w="663"/>
        <w:gridCol w:w="318"/>
        <w:gridCol w:w="321"/>
        <w:gridCol w:w="109"/>
        <w:gridCol w:w="109"/>
        <w:gridCol w:w="109"/>
        <w:gridCol w:w="174"/>
        <w:gridCol w:w="174"/>
        <w:gridCol w:w="178"/>
        <w:gridCol w:w="109"/>
        <w:gridCol w:w="109"/>
        <w:gridCol w:w="109"/>
        <w:gridCol w:w="211"/>
        <w:gridCol w:w="826"/>
        <w:gridCol w:w="109"/>
        <w:gridCol w:w="109"/>
        <w:gridCol w:w="109"/>
        <w:gridCol w:w="109"/>
        <w:gridCol w:w="215"/>
        <w:gridCol w:w="996"/>
        <w:gridCol w:w="111"/>
        <w:gridCol w:w="109"/>
        <w:gridCol w:w="109"/>
        <w:gridCol w:w="109"/>
        <w:gridCol w:w="250"/>
        <w:gridCol w:w="980"/>
        <w:gridCol w:w="129"/>
        <w:gridCol w:w="109"/>
        <w:gridCol w:w="109"/>
        <w:gridCol w:w="109"/>
        <w:gridCol w:w="251"/>
        <w:gridCol w:w="860"/>
        <w:gridCol w:w="130"/>
        <w:gridCol w:w="109"/>
        <w:gridCol w:w="109"/>
        <w:gridCol w:w="109"/>
        <w:gridCol w:w="211"/>
        <w:gridCol w:w="976"/>
        <w:gridCol w:w="160"/>
      </w:tblGrid>
      <w:tr>
        <w:trPr/>
        <w:tc>
          <w:tcPr>
            <w:tcW w:w="6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Option 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Non-Equity Incentive Plan Compensation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 Compensation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225,750 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Prashant Rawat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Operating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Douglas (Doug) Ellison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Commercial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reflect the full grant-date fair value of stock options granted during 2025 computed in accordance with Financial Accounting Standards Board (FASB) Accounting Standards Codification (ASC) Topic 718. We provide information regarding the assumptions used to calculate the value of all option awards made to named executive officers in Note 11 to the consolidated financial statements included in this prospectus. The amounts reported in this column reflect the accounting cost for the stock options and do not reflect the actual economic value that will be realized by our named executive officers upon the vesting or exercise of such awards or the sale of the common stock underlying such awards. For additional information, see the subsection titled “—Narrative to Summary Compensation Table—Equity-Based Incentive Awards” below.</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reflect the annual performance-based bonuses for each of Messrs. Foust and Rawat. For Mr. Ellison, amount reflects (i) the annual performance-based bonus of $110,250 and (ii) the variable cash-based compensation earned by Mr. Ellison of $531,253. For additional information, see the subsection titled “—Narrative to Summary Compensation Table—Cash Incentive Compensation” below.</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(3)For each of our named executive officers, amounts reflect the value of 401(k) matching contributions for 2025. For a description of the 401(k) Plan, please see the subsection titled “—Narrative to Summary Compensation Table—401(k) Plan” below.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Narrative to Summary Compensation Table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Elements of Our Executive Compensation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2025, the primary elements of our named executive officers’ compensation were base salary, cash incentive compensation and long-term equity compensation.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Base Salaries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base salaries of our named executive officers are an important part of their total compensation package and are intended to reflect their respective positions, duties and responsibilities. For 2025, the named executive officers’ annual base salaries were:</w:t>
      </w:r>
    </w:p>
    <w:tbl>
      <w:tblPr>
        <w:tblW w:w="3941" w:type="dxa"/>
        <w:jc w:val="left"/>
        <w:tblInd w:w="0" w:type="dxa"/>
        <w:tblLayout w:type="fixed"/>
        <w:tblCellMar>
          <w:top w:w="28" w:type="dxa"/>
          <w:left w:w="28" w:type="dxa"/>
          <w:bottom w:w="28" w:type="dxa"/>
          <w:right w:w="28" w:type="dxa"/>
        </w:tblCellMar>
      </w:tblPr>
      <w:tblGrid>
        <w:gridCol w:w="738"/>
        <w:gridCol w:w="649"/>
        <w:gridCol w:w="652"/>
        <w:gridCol w:w="109"/>
        <w:gridCol w:w="109"/>
        <w:gridCol w:w="109"/>
        <w:gridCol w:w="279"/>
        <w:gridCol w:w="1093"/>
        <w:gridCol w:w="203"/>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Base Salary</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Foust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Prashant Rawat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(Doug) Ellison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2025, the compensation committee of our board of directors recommended, and our board of directors approved, a two-step salary increase for Mr. Foust with an increase in base salary in each of 2025 and 2026. Prior to the first-step increase in 2025, Mr. Foust’s base salary was equal to $386,250, with the first-step increase to the rate reflected in the table above becoming effective as of March 1, 2025. The second-step increase was approved on January 21, 2026, and Mr. Foust’s annual base salary was increased to $450,000, effective as of January 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our board of directors approved an increase to the base salaries for each of Messrs. Foust and Ellison such that their base salaries will be equal to $575,000 and $400,000, respectively.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Incentive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 For 2025, each named executive officer had the following target annual bonus amount, expressed as a percentage of the named executive officer’s annual base salary: </w:t>
      </w:r>
    </w:p>
    <w:tbl>
      <w:tblPr>
        <w:tblW w:w="4511"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425"/>
        <w:gridCol w:w="425"/>
        <w:gridCol w:w="1249"/>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Named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Annual Bonus Target</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Prashant Rawat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Douglas (Doug) Ellison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goals for the 2025 bonus program were generally based on a combination of commercial, operating expense, and operational performance criteria. Bonuses, if any, are typically determined and paid during the first quarter of the year following the performance year. The compensation committee of our board of directors did not assign individual quantitative sub-weightings within each category. The relative weighting among the categories for the 2025 annual bonus program were: (i) 60% commercial performance, based on achievement of revenue and other commercial objectives, including overall revenue targets and market performance, (ii) 10% operating expense management, based on effective management and control of operating expenses, including cost discipline and efficient allocation of resources and (iii) 30% operational performance, based on operational execution, including business continuity, operational stability and achievement of clinical and operational initiatives.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amount of annual cash bonuses paid to our named executive officers for the 2025 performance period, based on performance achievement levels of 105% of target, are included in the “Non-Equity Incentive Plan Compensation” column of the 2025 Summary Compensation Table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Mr. Ellison is eligible to earn a variable cash-based compensation payment based on our realization of certain revenue targets at the end of our fiscal year. For 2025, Mr. Ellison was eligible for a guaranteed variable cash-based payment equal to $200,000, with the ability to earn an additional uncapped amount equal to 5% of the excess of held reorders and revenues actually achieved in fiscal year 2025 that exceeded $28,040,000. The actual amount of the variable cash-based payment paid to Mr. Ellison for fiscal year 2025, based on realization of held reorders and revenues equal to $34,665,078, is included in the “Non-Equity Incentive Plan Compensation” column of the 2025 Summary Compensation Table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our board of directors approved an increase to the target annual bonus percentages for each of Messrs. Foust and Rawat such that their target annual bonus percentage for 2026 will be equal to 90% and 55%, respectively.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Equity-Based Incentive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equity-based incentive awards are designed to align our interests and those of our stockholders with those of our employees, including our named executive officers. The board of directors or an authorized committee thereof is responsible for approving equity grants.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this offering, we granted stock options pursuant to our 2022 Equity Incentive Plan (the 2022 Plan) which was the successor to our Third Amended and Restated 2007 Stock Option Plan (the 2007 Plan and, collectively with our 2022 Plan, the Prior Plans). Certain of Mr. Foust’s outstanding stock options granted in December 2021 were granted pursuant to the 2007 Plan, and all other outstanding stock options held by our named executive officers were granted pursuant to the 2022 Plan. Following this offering, we plan to grant equity-based incentive awards under the terms of the 2026 Plan to be adopted in connection with this offering. The terms of our Prior Plans and the 2026 Plan are described in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 From time to time, our board of directors may also construct alternate vesting schedules as it determines are appropriate to motivate particular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each of March 27, 2025, April 25, 2025 and October 17, 2025, we granted Mr. Foust options to purchase 389,423, 63,920 and 167,708 shares of our common stock, respectively, with an exercise price of $3.73, $3.73 and $3.94, respectively, the fair market value on the date of grant as determined by our board of directors based on an independent third-party valuation. Except for the options granted to Mr. Foust in April 2025, the options vest as to 25% of the options on the first anniversary of the vesting commencement date and as to 1/48th of the options on each monthly anniversary of the vesting commencement date thereafter for 36 months, subject to Mr. Foust’s continuous service with us as of each such vesting date. Our board of directors determined that applicable corporate objectives in fiscal year 2025 were met, and accordingly the options granted in April 2025 vest as to 25% of the options on the first anniversary of the vesting commencement date and in respect of 1/48th of the total number of options on each monthly anniversary of the vesting commencement date thereafter for 36 months, subject to Mr. Foust’s continuous service with us as of each such vesting date. The performance-based corporate objectives for Mr. Foust’s options are the same as described above in the subsection titled “—Narrative to Summary Compensation Table—Cash Incentive Compensation” for our annual 2025 bonus program.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each of March 27, 2025 and October 17, 2025, we granted Mr. Rawat options to purchase 126,825 and 57,084 shares of our common stock, respectively, with an exercise price of $3.73 and $3.94, respectively, the fair market value on the date of grant as determined by our board of directors based on an independent third-party valuation. The options vest as to 25% of the options on the first anniversary of the vesting commencement date and as to 1/48th of the options on each monthly anniversary of the vesting commencement date thereafter for 36 months, subject to Mr. Rawat’s continuous service with us as of each such vesting date.</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each of March 27, 2025, April 25, 2025 and October 17, 2025, we granted Mr. Ellison options to purchase 120,583, 14,204 and 34,037 shares of our common stock, with an exercise price of $3.73, $3.73 and $3.94, respectively, the fair market value on the date of grant as determined by our board of directors based on an independent third-party valuation. Except for the options granted to Mr. Ellison in April 2025, the options vest as to 25% of the options on the first anniversary of the vesting commencement date and as to 1/48th of the options on each monthly anniversary of the vesting commencement date thereafter for 36 months, subject to Mr. Ellison’s continuous service with us as of each such vesting date. Based on our exceeding a held reorder and revenue target equal to $28,100,000 in fiscal year 2025, the options granted in April 2025 vest as to 25% of the options on the first anniversary of the vesting commencement date and in respect of 1/48th of the total number of options on each monthly anniversary of the vesting commencement date thereafter for 36 months, subject to Mr. Ellison’s continuous service with us as of each such vesting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each of our executive officers will receive an award of stock options on the date on which this registration statement becomes effective with a grant value of (i) $5,500,000 for Mr. Foust, (ii) $1,500,000 for Mr. Rawat, (iii) $1,600,000 for Mr. Ellison, (iv) $1,700,000 for Mr. Bunker Curnes, (v) $900,000 for Mr. Jordan Curnes II and (vi) $1,450,000 for Mr. Leavitt, at an exercise price equal to the initial public offering price in this offering. The number of options granted will be the quotient obtained by dividing (a) the applicable grant value by (b) 55% of the initial public offering price in this offering, with the resulting number of options rounded up to the nearest 10 shares. These stock options will vest as to 25% of the stock options on the first anniversary of the grant date, with the remaining stock options vesting in 36 equal monthly installments thereafter, in each case, subject to the executive officer’s continued service through the applicable vesting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we will also grant stock options and restricted stock units (“RSUs”) on the date on which this registration statement becomes effective to our non-executive employees with an aggregate grant value of $8,156,287 and $2,721,250, respectively. The number of options granted will be the quotient obtained by dividing (a) the applicable grant value by (b) 55% of the initial public offering price in this offering, with the resulting number of options rounded up to the nearest 10 shares. These stock options will vest as to 25% of the stock options on the first anniversary of the grant date, with the remaining stock options vesting in 36 equal monthly installments thereafter, in each case, subject to the employee’s continued service through the applicable vesting date. The number of RSUs granted will be the quotient obtained by dividing (a) the applicable grant value by (b) the initial public offering price in this offering, with the resulting number of RSUs rounded up to the nearest 10 shares. These RSUs will vest as to 25% of the RSUs on the first four anniversaries of the grant date, subject to the employee’s continued service through the applicable vesting date.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Elements of Compensation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Health and Welfare Benefits; Perquisites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our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401(k)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to all participants (including our named executive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officers) equal to 4% of such participant’s annual compensation. Our board of directors may elect to adopt qualified or nonqualified retirement plans in the future, if it determines that doing so is in our best interests.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Employment, Severance or Change in Control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enter into restated employment agreements (Restated Employment Agreements) with our named executive officers effective upon the effectiveness of the registration statement relating to this offering. The terms of these Restated Employment Agreements are generally consistent with the terms of each of our named executive officers’ employment agreements described below in the section titled “—Pre-IPO Employment Agreements” except that the Restated Employment Agreements do not include severance provisions and instead provide that each of our named executive officers are eligible to participate in our Severance Plan (as defined and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the effectiveness of the Restated Employment Agreements, each of our named executive officers will be entitled to the base salary and annual bonus targets (and, for Mr. Ellison, sales incentive targets) as described above in the sections titled “—Elements of Our Executive Compensation Program—Base Salaries” and “—Elements of Our Executive Compensation Program—Cash Incentive Compensation.” Mr. Foust’s Restated Employment Agreement provides that, in the event of a Corporate Transaction (as defined below) any then unvested stock options held by Mr. Foust that were granted prior to the consummation of this offering will become fully vested immediately prior to the consummation of such Corporate Transaction. Mr. Foust’s Restated Employment Agreement also provides that, upon termination of Mr. Foust’s employment by us under circumstances giving rise to severance under the Executive and Key Employee Severance Plan, in addition to the severance benefits thereunder, Mr. Foust will be entitled to accelerated vesting of any then-unvested portion of outstanding equity grants by 12 months from the date of termination.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Executive and Key Employee Severance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our board of directors adopted an Executive and Key Employee Severance and Change in Control Severance Plan (the Severance Plan) for the benefit of certain of our executive and key employees employed by us or our subsidiaries who are designated by our compensation committee as eligible to participate in the Severance Plan (the Covered Employees). The severance benefits under the Severance Plan, which will become effective upon the effectiveness of the registration statement relating to this offering, will supersede any severance benefits otherwise payable under the applicable Covered Employee’s Pre-IPO Employment Agreement (as defined below), except as expressly provided in the Restated Employment Agreements.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Severance Plan provides assurances of specified severance benefits to Covered Employees whose employment is subject to involuntary termination by us other than for Cause (as defined below) or due to the Covered Employee’s resignation for Good Reason (as defined below) under the circumstances described in the Severance Plan, including, but not limited to, a qualifying termination that occurs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 Mr. Foust has been designated as a Tier 1 Covered Employee and each of our other executive officers has been designated as a Tier 2 Covered Employee.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Severance Plan, if, at any time before the date of a Change in Control or after the end of the 18-month period beginning on the date of a Change in Control, we (or any of our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the Covered Employee’s execution of a release of claims and compliance with certain restrictive covenants, including with respect to non-solicitation and non-disparagement: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a Tier 1 Covered Employee, an amount equal to the sum of (i) the Covered Employee’s annualized base pay for 12 months following termination and (ii) the prorated portion of the Covered Employee’s target bonus for the fiscal year in which such termination occurs, paid in a lump sum;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 Tier 2 Covered Employee, an amount equal to the Covered Employee’s annualized base pay for 12 months following termination, paid in a lump sum; and</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 Tier 3 Covered Employee, an amount equal to the Covered Employee’s annualized base pay for 9 months following termination paid in a lump sum;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Company-paid COBRA coverage for 12 months, 12 months, or 9 months following termination in the case of a Tier 1 Covered Employee, a Tier 2 Covered Employee, or a Tier 3 Covered Employee, respectively; 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Severance Plan, if, at any time within the 18-month period following a Change in Control, we (or any of our subsidiaries) terminate a Covered Employee’s employment other than for Cause (and other than due to death or Disability) or the Covered Employee resigns for Good Reason, then the Covered Employee will be entitled to receive the following severance benefits, subject the Covered Employee’s execution of a release of claims and compliance with certain restrictive covenants, including with respect to non-solicitation and non-disparagement: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following aggregate cash amount, paid in a lump sum: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a Tier 1 Covered Employee, the sum of 18 months of the Covered Employee’s annualized base pay and 1.5 times the Covered Employee’s target bonus;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 Tier 2 Covered Employee, the sum of 15 months of the Covered Employee’s annualized base pay and 1.25 times the Covered Employee’s target bonus;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 Tier 3 Covered Employee, the sum of 12 months of the Covered Employee’s annualized base pay and the Covered Employee’s target bonus.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Company-paid COBRA coverage for 18 months, 15 months, or 12 months following termination in the case of a Tier 1 Covered Employee, a Tier 2 Covered Employee, or a Tier 3 Covered Employee, respectively;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100% accelerated vesting of the Covered Employee’s time-based equity compensation awards; provided, that any performance-based equity compensation awards will vest assuming “target” level of performance, unless the terms of the applicable equity compensation award agreement provide otherwise, in which case the applicable equity compensation award agreement will govern.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Severance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Cause” means, unless otherwise defined in a Covered Employee’s participation agreement, any of the following: (i) the Covered Employee’s commission of an act of fraud, embezzlement or dishonesty, or the commission of some other illegal act by you, that has a demonstrable adverse impact on the Company or any successor or affiliate thereof; (ii) the Covered Employee’s conviction of, or plea of “guilty” or “no contest” to, a felony or any crime involving fraud, dishonesty or moral turpitude under the laws of the United States or any state thereof (other than traffic violations or other insignificant infractions of law that do not affect the performance of the Covered Employee’s duties to the Company); (iii) any intentional, unauthorized use or disclosure by the Covered Employee of confidential information or trade secrets of the Company or any successor or affiliate thereof; (iv) the Covered Employee’s gross negligence, insubordination or material violation of any duty of loyalty to the Company or any successor or affiliate thereof, or any other demonstrable material misconduct on the Covered Employee’s part; (v) the Covered Employee’s ongoing and intentional failure or refusal to substantially perform the Covered Employee’s assigned duties or employment obligations (other than as a result of a cause or event outside of the Covered Employee’s control) or the Covered Employee’s ongoing and repeated failure or refusal to comply with the lawful instructions given to the Covered Employee by our Chief Executive Officer or, with respect to the Chief Executive Officer, our board of directors, which failure, refusal or neglect continues for 30 days following the Covered Employee’s receipt of written notice from our board of directors stating with specificity the nature of such failure, refusal or neglect; or (vi) the Covered Employee’s willful, material breach of any written Company policy applicable to the Covered Employee or any material provision of any offer or employment letter or any confidential information agreement, proprietary information and inventions agreement to which the Covered Employee is a party;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 in Control” means a “Change in Control” as such term is defined under our 2026 Plan, as described below in the section titled “—Equity Incentive Plans;” and </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Good Reason” means unless otherwise defined in a Covered Employee’s participation agreement, the occurrence of any of the following events or conditions without a Covered Employee’s written consent: (i) a material reduction or material adverse change in the Covered Employee’s authority, duties or responsibilities; (ii) a material diminution in the Covered Employee’s base pay or target bonus, unless such a reduction is imposed across-the-board to all senior management of the Company; (iii) a material change in the geographic location at which the Covered Employee must perform the Covered Employee’s duties from the location that was designated as the Covered Employee’s primary location immediately prior to such change (and the Covered Employee and the Company agree that a change of more than 35 miles shall be material for this purpose, and that the Covered Employee’s primary employment location shall be the Covered Employee’s home if the Covered Employee is designated as a remote worker); or (iv) any other action or inaction that constitutes a material breach by the Company or any successor or affiliate of its obligations to the Covered Employee under any agreement between the Covered Employee and the Company or any of its affiliates or any plan maintained by the Company or any of its affiliates related to the Covered Employee’s employment in which the Covered Employee is a participant. The Covered Executive must provide written notice to the Company of the occurrence of any of the foregoing events or conditions without the Covered Employee’s written consent within 60 days of the occurrence of such event. The Company or any successor or affiliate shall have a period of 30 days to cure such event or condition after receipt of written notice of such event from the Covered Employee. The Covered Employee’s termination of employment by reason of resignation from employment with the Company for Good Reason must occur within 30 days following the expiration of the foregoing 30-day cure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Pre-IPO Employment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employment agreement with each of our named executive officers (the Pre-IPO Employment Agreements), as further described below.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Richard Foust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an employment agreement with Mr. Foust (the Foust Employment Agreement). Mr. Foust’s employment with us is at-will.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Foust Employment Agreement provides that Mr. Foust will be entitled to an annual base salary, which will be reviewed on an annual basis for potential increase and, at a minimum, will increase 3% annually as a cost of living increase. The Foust Employment Agreement also provides that Mr. Foust will be entitled to participate in any incentive bonus program we have adopted for executive employees.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Foust Employment Agreement provides that Mr. Foust will be eligible, at least annually, for stock option grants under the 2007 Plan or 2022 Plan, as applicable. Additionally, in the event of a Corporate Transaction (as defined below) any then unvested stock options held by Mr. Foust will immediately become fully vested immediately prior to the consummation of such Corporate Transaction. </w:t>
      </w:r>
    </w:p>
    <w:p>
      <w:pPr>
        <w:pStyle w:val="TextBody"/>
        <w:bidi w:val="0"/>
        <w:spacing w:lineRule="auto" w:line="288" w:before="0" w:after="180"/>
        <w:jc w:val="left"/>
        <w:rPr/>
      </w:pPr>
      <w:r>
        <w:rPr>
          <w:rFonts w:ascii="Times New Roman;serif" w:hAnsi="Times New Roman;serif"/>
          <w:b w:val="false"/>
          <w:color w:val="000000"/>
          <w:sz w:val="20"/>
        </w:rPr>
        <w:t xml:space="preserve">The Foust Employment Agreement also provides that upon termination of Mr. Foust’s employment by us without Cause (as defined below) and upon his resignation for Good Reason (as defined below), subject to Mr. Foust’s execution and non-revocation of a release of claims, Mr. Foust will be entitled to receive, in addition to any accrued amounts, (i) a lump sum payment equal to (a) his most recent annual base salary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(b) his then annual target bonus amount, prorated for the period of his employment during the year of termination, (ii) the payment of his and his eligible dependents COBRA premium costs (for the lesser of (x) 12 months, (y) the time until Mr. Foust receives coverage through other employment, or (z) Mr. Foust is no longer eligible for COBRA continuation coverage), and (iii) accelerated vesting of any then-unvested portion of outstanding equity grants by 12 months from the date of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defined in the Foust Employment Agreement, “Cause” generally means any of the following, as determined in good faith by us: (i) Mr. Foust’s conviction of a felony involving moral turpitude; (ii) misappropriation, embezzlement or fraud by Mr. Foust in the performance of his duties; (iii) Mr. Foust’s willful violation by him of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material law, regulation or company policy applicable to his work for us; (iv) a material breach by Mr. Foust of his PIIA (as defined below); or (v) Mr. Foust’s repeated refusal to perform his material duties; provided that a termination for Cause pursuant to subsection (iv) or (v) may only be effected after Mr. Foust’s receipt of specific written notice and failure to cure the claimed violation within thirty (30) days thereafter.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defined in the Foust Employment Agreement, “Good Reason” generally means any of the following done without Mr. Foust’s written consent: (i) a material diminution in his base salary, aggregate cash compensation or target bonus opportunity; (ii) a material diminution in his authority, duties or responsibility; (iii) relocation of the principal geographic location at which he must perform services to a location that is more than 35 miles from the then-current location; (iv) any requirement that he engage in illegal conduct; or (v) a material breach by us of the Foust Employment Agreement or any other agreement between us (or any of our affiliates) and Mr. Foust; provided, however, that Good Reason shall not exist unless Mr. Foust provides us with written notice specifying the claimed grounds for Good Reason within ninety (90) days following the initial existence of such event or condition, and we fail to cure such event or condition within thirty (30) days after the date of the written notice, and provided, further, that Mr. Foust must resign effective within 30 days following our failure to cure such event or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defined in the Foust Employment Agreement, “Corporate Transaction” generally has the meaning set forth in the 2007 Plan; provided, however, for the purpose of clarity and notwithstanding anything contrary in the 2007 Plan, a SPAC Transaction will constitute a Corporate Transaction under the Foust Employment Agreement. For purposes of the Foust Employment Agreement, “SPAC Transaction” means the consummation of a transaction or series of related transactions by merger, consolidation, share exchange or otherwise of the Company with a publicly traded “special purpose acquisition company” or its subsidiary (collectively, a SPAC), immediately following the consummation of which the common stock, ordinary shares or share capital of the SPAC or its successor entity is listed on the Nasdaq Stock Market, the New York Stock Exchange or another exchange or marketplace approved by the Company’s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Mr. Foust also entered into a proprietary information and inventions agreement (the PIIA) which includes confidentiality and assignment of intellectual property provisions and certain restrictive covenants, including non-competition and non-solicitation of customers during Mr. Foust’s employment and one-year post-employment non-solicitation of employees.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Prashant Rawat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an employment agreement with Mr. Rawat (the Rawat Employment Agreement). Mr. Rawat’s employment with us is at-will.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Rawat Employment Agreement provides that Mr. Rawat will be entitled to an annual base salary, which will be reviewed for potential increase no more frequently than once per calendar year. The Rawat Employment Agreement also provides that Mr. Rawat will be eligible to receive up to 35% of his base salary per year in cash which will be dependent upon his and our performance, as determined by our compensation committee in its discretion.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Mr. Rawat also entered into a PIIA which includes confidentiality and assignment of intellectual property provisions.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Douglas (Doug) Ellison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an employment agreement with Mr. Ellison (the Ellison Employment Agreement). Mr. Ellison’s employment with us is at-will.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Ellison Employment Agreement provides that Mr. Ellison will be entitled to an annual base salary, which will be reviewed for potential increase no more frequently than once per calendar year. The Ellison Employment Agreement also provides that Mr. Ellison will be eligible to participate in our sales incentive plan adopted for our sales employees with a target variable compensation under such sales incentive plan equal to $200,000 per year, as determined and paid in accordance with the sales incentive plan. Additionally, Mr. Ellison is eligible to receive up to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30% of his base salary per year in cash which will be dependent upon his and our performance, as determined by our compensation committee in its discretion.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Mr. Ellison also entered into a PIIA which includes confidentiality and assignment of intellectual property provisions.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Clawback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our board of directors adopted a compensation recovery policy that is compliant with the Listing Rules, as required by the Dodd-Frank Act, to be effective upon the consummation of this offering.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Outstanding Equity Awards at 2025 Fiscal Year-End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outstanding stock options held by each of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74"/>
        <w:gridCol w:w="294"/>
        <w:gridCol w:w="295"/>
        <w:gridCol w:w="444"/>
        <w:gridCol w:w="332"/>
        <w:gridCol w:w="231"/>
        <w:gridCol w:w="109"/>
        <w:gridCol w:w="109"/>
        <w:gridCol w:w="109"/>
        <w:gridCol w:w="568"/>
        <w:gridCol w:w="413"/>
        <w:gridCol w:w="414"/>
        <w:gridCol w:w="109"/>
        <w:gridCol w:w="109"/>
        <w:gridCol w:w="109"/>
        <w:gridCol w:w="486"/>
        <w:gridCol w:w="486"/>
        <w:gridCol w:w="487"/>
        <w:gridCol w:w="109"/>
        <w:gridCol w:w="109"/>
        <w:gridCol w:w="109"/>
        <w:gridCol w:w="577"/>
        <w:gridCol w:w="577"/>
        <w:gridCol w:w="579"/>
        <w:gridCol w:w="109"/>
        <w:gridCol w:w="109"/>
        <w:gridCol w:w="109"/>
        <w:gridCol w:w="236"/>
        <w:gridCol w:w="573"/>
        <w:gridCol w:w="122"/>
        <w:gridCol w:w="109"/>
        <w:gridCol w:w="109"/>
        <w:gridCol w:w="109"/>
        <w:gridCol w:w="331"/>
        <w:gridCol w:w="305"/>
        <w:gridCol w:w="446"/>
      </w:tblGrid>
      <w:tr>
        <w:trPr/>
        <w:tc>
          <w:tcPr>
            <w:tcW w:w="3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Securities Underlying Unexercised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Incentive Plan Awards: Number of Securities Underlying Unexercised Unearned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Exercise Price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Expiration Date</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Foust</w:t>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2031</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508,839 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10,826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14, 2032</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334,033</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2035</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63,920</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24, 2035</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167,708</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2035</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Prashant Rawat</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172,588 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24,655</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14, 2032</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107,524</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2035</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57,084</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2035</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Douglas (Doug) Ellison </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45,843</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2033</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104,098</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2035</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14,204</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24, 2035</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34,037</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2035</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(1)Amounts reflect the number of stock options outstanding in each tranche as of December 31, 2025. Outstanding stock options vest in respect of 25% of the total number of shares of common stock initially subject to the option on the first anniversary of the vesting commencement date and in respect of 1/48th of the total number of shares of common stock initially subject to the option on each monthly anniversary of the vesting commencement date thereafter for 36 months, subject to the named executive officer’s continuous service with us as of each such vesting date.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(2)Amount reflects the number of stock options outstanding as of December 31, 2025. Based upon the achievement of a certain percentage of corporate objectives in fiscal year 2025, the outstanding stock options will vest in respect of 25% of the total number of shares of common stock initially subject to the option on the first anniversary of the vesting commencement date and in respect of 1/48th of the total number of shares of common stock initially subject to the option on each monthly anniversary of the vesting commencement date thereafter for 36 months, subject to the named executive officer’s continuous service with us as of each such vesting date. </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(3)Amount reflects the number of stock options outstanding as of December 31, 2025. Based upon our achievement of exceeding a held reorder and revenue target equal to $28,100,000 in fiscal year 2025, the outstanding stock options will vest in respect of 25% of the total number of shares of common stock initially subject to the option on the first anniversary of the vesting commencement date and in respect of 1/48th of the total number of shares of common stock initially subject to the option on each monthly anniversary of the vesting commencement date thereafter for 36 months, subject to the named executive officer’s continuous service with us as of each such vesting date.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material terms of our Prior Plans, the 2026 Plan and the ESPP. We anticipate that the 2026 Plan will be the long-term equity incentive plan in which our directors and named executive officers will be eligible to participate following the consummation of this offering, subject to the terms and conditions of the 2026 Plan. These summaries are qualified in their entirety by reference to the actual text of the applicable plan, each of which will be filed as an exhibit to the registration statement of which this prospectus is a part.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Incentive Award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this offering, our board of directors adopted and will ask our stockholders to approve the Mobia Medical, Inc. 2026 Incentive Award Plan (the 2026 Plan), which will become effective in connection with this offering. Under the 2026 Plan, we may grant cash and equity incentive awards to eligible service providers in order to attract, motivate and retain the talent for which we compete. The material terms of the 2026 Plan, as it is currently contemplated, are summarized below.</w:t>
      </w:r>
    </w:p>
    <w:p>
      <w:pPr>
        <w:pStyle w:val="TextBody"/>
        <w:bidi w:val="0"/>
        <w:spacing w:lineRule="auto" w:line="288" w:before="0" w:after="180"/>
        <w:jc w:val="left"/>
        <w:rPr/>
      </w:pPr>
      <w:r>
        <w:rPr>
          <w:rFonts w:ascii="Times New Roman;serif" w:hAnsi="Times New Roman;serif"/>
          <w:b w:val="false"/>
          <w:i/>
          <w:color w:val="000000"/>
          <w:sz w:val="20"/>
        </w:rPr>
        <w:t>Eligibility and Administration</w:t>
      </w:r>
      <w:r>
        <w:rPr>
          <w:rFonts w:ascii="Times New Roman;serif" w:hAnsi="Times New Roman;serif"/>
          <w:b w:val="false"/>
          <w:color w:val="000000"/>
          <w:sz w:val="20"/>
        </w:rPr>
        <w:t xml:space="preserve">. Our employees, consultants, and directors, and employees and consultants of our subsidiaries, will be eligible to receive awards under the 2026 Plan. Following this offering, the 2026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2026 Plan, Section 16 of the Exchange Act, applicable law and/or stock exchange rules, as applicable. The plan administrator will have the authority to make all determinations and interpretations under, prescribe all forms for use with, and adopt rules for the administration of, the 2026 Plan, subject to its express terms and conditions. The plan administrator will also set the terms and conditions of all awards under the 2026 Plan, including any vesting and vesting acceleration conditions. </w:t>
      </w:r>
    </w:p>
    <w:p>
      <w:pPr>
        <w:pStyle w:val="TextBody"/>
        <w:bidi w:val="0"/>
        <w:spacing w:lineRule="auto" w:line="288" w:before="0" w:after="180"/>
        <w:jc w:val="left"/>
        <w:rPr/>
      </w:pPr>
      <w:r>
        <w:rPr>
          <w:rFonts w:ascii="Times New Roman;serif" w:hAnsi="Times New Roman;serif"/>
          <w:b w:val="false"/>
          <w:i/>
          <w:color w:val="000000"/>
          <w:sz w:val="20"/>
        </w:rPr>
        <w:t>Limitation on Awards and Shares Available</w:t>
      </w:r>
      <w:r>
        <w:rPr>
          <w:rFonts w:ascii="Times New Roman;serif" w:hAnsi="Times New Roman;serif"/>
          <w:b w:val="false"/>
          <w:color w:val="000000"/>
          <w:sz w:val="20"/>
        </w:rPr>
        <w:t xml:space="preserve">. The number of shares initially available for issuance under awards granted pursuant to the 2026 Plan will be the sum of (i) 14% of the number of “pricing date fully-diluted shares” (as defined below),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(ii) any shares of our common stock which, as of the effective date of the 2026 Plan, remain available for issuance under the 2022 Plan, plus (iii) any shares subject to outstanding awards under the Prior Plans as of the effective date of the 2026 Plan that become available for issuance under the 2026 Plan thereafter in accordance with its terms. The number of shares initially available for issuance will be increased on January 1 of each calendar year beginning in 2027 and ending in 2036, by an amount equal to the lesser of (a) 5% of the shares of common stock outstanding on the final day of the immediately preceding calendar year and (b) such smaller number of shares as determined by the plan administrator. No more than 250,000,000 shares of common stock may be issued upon the exercise of incentive stock options under the 2026 Plan (which number gives effect to the reverse stock split expected to be implemented in connection with this offering). Shares issued under the 2026 Plan may be authorized but unissued shares, shares purchased on the open market or treasury shares. For purposes of the 2026 Plan, the “pricing date fully-diluted shares” means, as of the date on which the registration statement of which this prospectus forms a part is declared effective, the sum of (1) the shares of our common stock outstanding on such date (calculated on an as-converted basis after giving effect to the conversion of the Company’s outstanding securities into shares in connection with the initial public offering and after giving effect to the issuance of the shares to be sold in this initial public offering and assuming the exercise in full of the underwriters’ over-allotment option in such initial public offering), (2) the shares of our common stock subject to compensatory equity awards (including stock options) outstanding on such date (with the number of shares subject to performance-based compensatory equity awards calculated at the “maximum” level of performance), and (3) all shares of common stock available for future issuance under the 2026 Plan and the ESPP as of such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award under the 2026 Plan or the Prior Plans expires, lapses, or is terminated, exchanged for, or settled in cash, surrendered, repurchased, cancelled without having been fully exercised or forfeited, in any case, in a manner that results in us acquiring shares covered by the award at a price not greater than the price paid by the participant for such shares or not issuing any shares covered by the award, any shares subject to such award will, as applicable, become or again be available for new grants under the 2026 Plan. Awards granted under the 2026 Plan upon the assumption of, or in substitution for, awards authorized or outstanding under a qualifying equity plan maintained by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 entity with which we enter into a merger or similar corporate transaction will not reduce the shares available for grant under the 2026 Plan. Further, shares delivered (either by actual delivery or attestation) to us by a participant to satisfy the applicable exercise or purchase price of an award under the 2026 Plan or the Prior Plans and/or to satisfy any applicable tax withholding obligation (including shares retained by us from the award being exercised or purchased and/or creating the tax obligation) shall become or again be available for the grant of awards under the 2026 Plan. </w:t>
      </w:r>
    </w:p>
    <w:p>
      <w:pPr>
        <w:pStyle w:val="TextBody"/>
        <w:bidi w:val="0"/>
        <w:spacing w:lineRule="auto" w:line="288" w:before="0" w:after="180"/>
        <w:jc w:val="left"/>
        <w:rPr/>
      </w:pPr>
      <w:r>
        <w:rPr>
          <w:rFonts w:ascii="Times New Roman;serif" w:hAnsi="Times New Roman;serif"/>
          <w:b w:val="false"/>
          <w:i/>
          <w:color w:val="000000"/>
          <w:sz w:val="20"/>
        </w:rPr>
        <w:t>Awards</w:t>
      </w:r>
      <w:r>
        <w:rPr>
          <w:rFonts w:ascii="Times New Roman;serif" w:hAnsi="Times New Roman;serif"/>
          <w:b w:val="false"/>
          <w:color w:val="000000"/>
          <w:sz w:val="20"/>
        </w:rPr>
        <w:t xml:space="preserve">. The 2026 Plan provides for the grant of stock options, including incentive stock options, or ISOs within the meaning of Section 422 of the Code, and nonqualified stock options, or NSOs; restricted stock; dividend equivalents; restricted stock units, or RSUs; stock appreciation rights, or SARs; and other stock or cash-based awards. Certain awards under the 2026 Plan may constitute or provide for a deferral of compensation, subject to Section 409A of the Code, which may impose additional requirements on the terms and conditions of such awards. All awards under the 2026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 Options</w:t>
      </w:r>
      <w:r>
        <w:rPr>
          <w:rFonts w:ascii="Times New Roman;serif" w:hAnsi="Times New Roman;serif"/>
          <w:b w:val="false"/>
          <w:color w:val="000000"/>
          <w:sz w:val="20"/>
        </w:rPr>
        <w:t xml:space="preserve">.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SARs</w:t>
      </w:r>
      <w:r>
        <w:rPr>
          <w:rFonts w:ascii="Times New Roman;serif" w:hAnsi="Times New Roman;serif"/>
          <w:b w:val="false"/>
          <w:color w:val="000000"/>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Restricted Stock and RSUs</w:t>
      </w:r>
      <w:r>
        <w:rPr>
          <w:rFonts w:ascii="Times New Roman;serif" w:hAnsi="Times New Roman;serif"/>
          <w:b w:val="false"/>
          <w:color w:val="000000"/>
          <w:sz w:val="20"/>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Other Stock or Cash-Based Awards</w:t>
      </w:r>
      <w:r>
        <w:rPr>
          <w:rFonts w:ascii="Times New Roman;serif" w:hAnsi="Times New Roman;serif"/>
          <w:b w:val="false"/>
          <w:color w:val="000000"/>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Dividend Equivalents</w:t>
      </w:r>
      <w:r>
        <w:rPr>
          <w:rFonts w:ascii="Times New Roman;serif" w:hAnsi="Times New Roman;serif"/>
          <w:b w:val="false"/>
          <w:color w:val="000000"/>
          <w:sz w:val="20"/>
        </w:rPr>
        <w:t xml:space="preserve">. RSUs or other stock and cash-based awards may be accompanied by the right to receive the equivalent value of dividends paid on shares of our common stock prior to the delivery of the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underlying shares. Such dividend equivalents will be paid out only to the extent that any vesting conditions are subsequently satisfied, unless otherwise determined by the plan administrator. No dividend equivalents will be payable on stock options or SARs. </w:t>
      </w:r>
    </w:p>
    <w:p>
      <w:pPr>
        <w:pStyle w:val="TextBody"/>
        <w:bidi w:val="0"/>
        <w:spacing w:lineRule="auto" w:line="288" w:before="0" w:after="180"/>
        <w:jc w:val="left"/>
        <w:rPr/>
      </w:pPr>
      <w:r>
        <w:rPr>
          <w:rFonts w:ascii="Times New Roman;serif" w:hAnsi="Times New Roman;serif"/>
          <w:b w:val="false"/>
          <w:i/>
          <w:color w:val="000000"/>
          <w:sz w:val="20"/>
        </w:rPr>
        <w:t>Performance Awards</w:t>
      </w:r>
      <w:r>
        <w:rPr>
          <w:rFonts w:ascii="Times New Roman;serif" w:hAnsi="Times New Roman;serif"/>
          <w:b w:val="false"/>
          <w:color w:val="000000"/>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but are not limited to: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lineRule="auto" w:line="288" w:before="0" w:after="180"/>
        <w:jc w:val="left"/>
        <w:rPr/>
      </w:pPr>
      <w:r>
        <w:rPr>
          <w:rFonts w:ascii="Times New Roman;serif" w:hAnsi="Times New Roman;serif"/>
          <w:b w:val="false"/>
          <w:i/>
          <w:color w:val="000000"/>
          <w:sz w:val="20"/>
        </w:rPr>
        <w:t>Director Compensation</w:t>
      </w:r>
      <w:r>
        <w:rPr>
          <w:rFonts w:ascii="Times New Roman;serif" w:hAnsi="Times New Roman;serif"/>
          <w:b w:val="false"/>
          <w:color w:val="000000"/>
          <w:sz w:val="20"/>
        </w:rPr>
        <w:t xml:space="preserve">. The 2026 Plan provides that the plan administrator may establish compensation for non-employee directors from time to time subject to the 2026 Plan’s limitations. In connection with this offering, we intend to adopt and ask our stockholders to approve the initial terms of our non-employee director compensation program, which is described in the subsection titled “Non-Employee Director Compensation” below.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 as a non-employee director during any calendar year may not exceed $1,000,000 (which limit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 </w:t>
      </w:r>
    </w:p>
    <w:p>
      <w:pPr>
        <w:pStyle w:val="TextBody"/>
        <w:bidi w:val="0"/>
        <w:spacing w:lineRule="auto" w:line="288" w:before="0" w:after="180"/>
        <w:jc w:val="left"/>
        <w:rPr/>
      </w:pPr>
      <w:r>
        <w:rPr>
          <w:rFonts w:ascii="Times New Roman;serif" w:hAnsi="Times New Roman;serif"/>
          <w:b w:val="false"/>
          <w:i/>
          <w:color w:val="000000"/>
          <w:sz w:val="20"/>
        </w:rPr>
        <w:t>Certain Transactions</w:t>
      </w:r>
      <w:r>
        <w:rPr>
          <w:rFonts w:ascii="Times New Roman;serif" w:hAnsi="Times New Roman;serif"/>
          <w:b w:val="false"/>
          <w:color w:val="000000"/>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2026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providing for the assumption or substitution of awards by a successor entity, adjusting the number and type of shares available, replacing awards with other rights or property or terminating awards under the 2026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2026 Plan, a “change in control” means and includes each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during any period of two consecutive years, individuals who, at the beginning of such period, constitute two-thirds of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consummation by us (whether directly or indirectly) of (i) a merger, consolidation, reorganization, or business combination or (ii) a sale or other disposition of all or substantially all of our assets in any single transaction or series of related transactions or (iii) the acquisition of assets or stock of another entity, in each case other than a transaction: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pStyle w:val="TextBody"/>
        <w:bidi w:val="0"/>
        <w:spacing w:lineRule="auto" w:line="288" w:before="0" w:after="180"/>
        <w:jc w:val="left"/>
        <w:rPr/>
      </w:pPr>
      <w:r>
        <w:rPr>
          <w:rFonts w:ascii="Times New Roman;serif" w:hAnsi="Times New Roman;serif"/>
          <w:b w:val="false"/>
          <w:i/>
          <w:color w:val="000000"/>
          <w:sz w:val="20"/>
        </w:rPr>
        <w:t>Foreign Participants, Clawback Provisions, Transferability, and Participant Payments</w:t>
      </w:r>
      <w:r>
        <w:rPr>
          <w:rFonts w:ascii="Times New Roman;serif" w:hAnsi="Times New Roman;serif"/>
          <w:b w:val="false"/>
          <w:color w:val="000000"/>
          <w:sz w:val="20"/>
        </w:rPr>
        <w:t xml:space="preserve">. 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and to the extent set forth in such clawback policy or in the applicable award agreement. With limited exceptions for estate planning, domestic relations orders, certain beneficiary designations, and the laws of descent and distribution, awards under the 2026 Plan are generally nontransferable prior to vesting and are exercisable only by the participant. With regard to tax withholding obligations arising in connection with awards under the 2026 Plan and exercise price obligations arising in connection with the exercise of stock options under the 2026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lineRule="auto" w:line="288" w:before="0" w:after="180"/>
        <w:jc w:val="left"/>
        <w:rPr/>
      </w:pPr>
      <w:r>
        <w:rPr>
          <w:rFonts w:ascii="Times New Roman;serif" w:hAnsi="Times New Roman;serif"/>
          <w:b w:val="false"/>
          <w:i/>
          <w:color w:val="000000"/>
          <w:sz w:val="20"/>
        </w:rPr>
        <w:t>Plan</w:t>
      </w:r>
      <w:r>
        <w:rPr>
          <w:color w:val="000000"/>
        </w:rPr>
        <w:t xml:space="preserve"> </w:t>
      </w:r>
      <w:r>
        <w:rPr>
          <w:rFonts w:ascii="Times New Roman;serif" w:hAnsi="Times New Roman;serif"/>
          <w:b w:val="false"/>
          <w:i/>
          <w:color w:val="000000"/>
          <w:sz w:val="20"/>
        </w:rPr>
        <w:t xml:space="preserve">Amendment and Termination. </w:t>
      </w:r>
      <w:r>
        <w:rPr>
          <w:rFonts w:ascii="Times New Roman;serif" w:hAnsi="Times New Roman;serif"/>
          <w:b w:val="false"/>
          <w:color w:val="000000"/>
          <w:sz w:val="20"/>
        </w:rPr>
        <w:t xml:space="preserve">Our board of directors may amend, suspend, or terminate the 2026 Plan at any time; however, except in connection with certain changes in our capital structure, stockholder approval will be required for any amendment that increases the number of shares available under the 2026 Plan. The plan administrator will have the authority, without the approval of our stockholders, to amend any outstanding stock option or SAR to reduce its exercise price per share or cancel outstanding stock options or SARs that have an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exercise price in excess of fair market value in exchange for cash, other award or stock option or SARs with an exercise price per share that is less than the exercise price per share of the original stock option or SARs. No incentive stock option may be granted pursuant to the 2026 Plan after the tenth anniversary of the date on which our board of directors adopts the 2026 Plan.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Employee Stock Purchase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this offering, our board of directors adopted and will ask our stockholders to approve the Mobia Medical, Inc. 2026 Employee Stock Purchase Plan (the ESPP), which will become effective in connection with this offering. The material terms of the ESPP, as it is currently contemplated, are summarized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ESPP is comprised of two distinct components in order to provide increased flexibility to grant options to purchase shares under 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 </w:t>
      </w:r>
    </w:p>
    <w:p>
      <w:pPr>
        <w:pStyle w:val="TextBody"/>
        <w:bidi w:val="0"/>
        <w:spacing w:lineRule="auto" w:line="288" w:before="0" w:after="180"/>
        <w:jc w:val="left"/>
        <w:rPr/>
      </w:pPr>
      <w:r>
        <w:rPr>
          <w:rFonts w:ascii="Times New Roman;serif" w:hAnsi="Times New Roman;serif"/>
          <w:b w:val="false"/>
          <w:i/>
          <w:color w:val="000000"/>
          <w:sz w:val="20"/>
        </w:rPr>
        <w:t>Shares Available for Awards; Administration</w:t>
      </w:r>
      <w:r>
        <w:rPr>
          <w:rFonts w:ascii="Times New Roman;serif" w:hAnsi="Times New Roman;serif"/>
          <w:b w:val="false"/>
          <w:color w:val="000000"/>
          <w:sz w:val="20"/>
        </w:rPr>
        <w:t xml:space="preserve">. The number of shares initially available for issuance pursuant to the ESPP will be equal to a number of shares equal to 1% of the number of pricing date fully-diluted shares (which term has the same meaning as under the 2026 Plan, as described above). In addition, the number of shares available for issuance under the ESPP will be annually increased on January 1 of each calendar year beginning in 2027 and ending in and including 2036, by an amount equal to the lesser of (A) 1% of the shares outstanding on the final day of the immediately preceding calendar year and (B) such smaller number of shares as is determined by the plan administrator, provided that no more than 250,000,000 shares of our common stock may be issued under the ESPP (which number gives effect to the reverse stock split expected to be implemented in connection with this offering).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 </w:t>
      </w:r>
    </w:p>
    <w:p>
      <w:pPr>
        <w:pStyle w:val="TextBody"/>
        <w:bidi w:val="0"/>
        <w:spacing w:lineRule="auto" w:line="288" w:before="0" w:after="180"/>
        <w:jc w:val="left"/>
        <w:rPr/>
      </w:pPr>
      <w:r>
        <w:rPr>
          <w:rFonts w:ascii="Times New Roman;serif" w:hAnsi="Times New Roman;serif"/>
          <w:b w:val="false"/>
          <w:i/>
          <w:color w:val="000000"/>
          <w:sz w:val="20"/>
        </w:rPr>
        <w:t>Eligibility</w:t>
      </w:r>
      <w:r>
        <w:rPr>
          <w:rFonts w:ascii="Times New Roman;serif" w:hAnsi="Times New Roman;serif"/>
          <w:b w:val="false"/>
          <w:color w:val="000000"/>
          <w:sz w:val="20"/>
        </w:rPr>
        <w:t xml:space="preserve">. We expect that all of our employees will be eligible to participate in the ESPP. However, an employee may not be granted rights to purchase stock under the ESPP if the employee, immediately after the grant, would own (directly or through attribution) stock possessing 5% or more of the total combined voting power or value of all classes of our stock. </w:t>
      </w:r>
    </w:p>
    <w:p>
      <w:pPr>
        <w:pStyle w:val="TextBody"/>
        <w:bidi w:val="0"/>
        <w:spacing w:lineRule="auto" w:line="288" w:before="0" w:after="180"/>
        <w:jc w:val="left"/>
        <w:rPr/>
      </w:pPr>
      <w:r>
        <w:rPr>
          <w:rFonts w:ascii="Times New Roman;serif" w:hAnsi="Times New Roman;serif"/>
          <w:b w:val="false"/>
          <w:i/>
          <w:color w:val="000000"/>
          <w:sz w:val="20"/>
        </w:rPr>
        <w:t>Grant of Rights; Transferability</w:t>
      </w:r>
      <w:r>
        <w:rPr>
          <w:rFonts w:ascii="Times New Roman;serif" w:hAnsi="Times New Roman;serif"/>
          <w:b w:val="false"/>
          <w:color w:val="000000"/>
          <w:sz w:val="20"/>
        </w:rPr>
        <w:t xml:space="preserve">. Stock will be offered under the ESPP during offering periods. The length of the offering periods under the ESPP will be determined by the plan administrator and may be up to twenty-seven months long and may consist of one or more purchase periods. Employee payroll deductions will be used to purchase shares on each purchase date during an offering period. The purchase dates for each offering period will be the final trading day in each purchase period under an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ESPP permits participants to purchase common stock through payroll deductions of up to a specified percentage of their eligible compensation. The plan administrator will establish a maximum number of shares that may be purchased by a participant during any purchase period or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the first trading day of each offering period, each participant will automatically be granted an option to purchase shares of our common stock. The option will expire at the end of the applicable offering period and will be exercised on each applicable purchase date during an offering period to the extent of the payroll deductions accumulated during the applicable purchase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participant may not transfer rights granted under the ESPP other than by will or the laws of descent and distribution, and such rights are generally exercisable only by the participant. </w:t>
      </w:r>
    </w:p>
    <w:p>
      <w:pPr>
        <w:pStyle w:val="TextBody"/>
        <w:bidi w:val="0"/>
        <w:spacing w:lineRule="auto" w:line="288" w:before="0" w:after="180"/>
        <w:jc w:val="left"/>
        <w:rPr/>
      </w:pPr>
      <w:r>
        <w:rPr>
          <w:rFonts w:ascii="Times New Roman;serif" w:hAnsi="Times New Roman;serif"/>
          <w:b w:val="false"/>
          <w:i/>
          <w:color w:val="000000"/>
          <w:sz w:val="20"/>
        </w:rPr>
        <w:t>Certain Transactions</w:t>
      </w:r>
      <w:r>
        <w:rPr>
          <w:rFonts w:ascii="Times New Roman;serif" w:hAnsi="Times New Roman;serif"/>
          <w:b w:val="false"/>
          <w:color w:val="000000"/>
          <w:sz w:val="20"/>
        </w:rPr>
        <w:t xml:space="preserve">. In the event of certain non-reciprocal transactions or events affecting our common stock, the plan administrator will make equitable adjustments to the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w:t>
      </w:r>
    </w:p>
    <w:p>
      <w:pPr>
        <w:pStyle w:val="TextBody"/>
        <w:bidi w:val="0"/>
        <w:spacing w:lineRule="auto" w:line="288" w:before="0" w:after="180"/>
        <w:jc w:val="left"/>
        <w:rPr/>
      </w:pPr>
      <w:r>
        <w:rPr>
          <w:rFonts w:ascii="Times New Roman;serif" w:hAnsi="Times New Roman;serif"/>
          <w:b w:val="false"/>
          <w:i/>
          <w:color w:val="000000"/>
          <w:sz w:val="20"/>
        </w:rPr>
        <w:t>Plan Amendment and Termination</w:t>
      </w:r>
      <w:r>
        <w:rPr>
          <w:rFonts w:ascii="Times New Roman;serif" w:hAnsi="Times New Roman;serif"/>
          <w:b w:val="false"/>
          <w:color w:val="000000"/>
          <w:sz w:val="20"/>
        </w:rPr>
        <w:t xml:space="preserve">. The plan administrator may amend, suspend, or terminate the ESPP at any time. However, stockholder approval will be obtained for any amendment that increases the aggregate number or changes the type of shares that may be sold pursuant to rights under the ESPP or changes the corporations or classes of corporations whose employees are eligible to participate in the ESPP.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Plan</w:t>
      </w:r>
    </w:p>
    <w:p>
      <w:pPr>
        <w:pStyle w:val="TextBody"/>
        <w:bidi w:val="0"/>
        <w:spacing w:lineRule="auto" w:line="288" w:before="0" w:after="180"/>
        <w:jc w:val="left"/>
        <w:rPr/>
      </w:pPr>
      <w:r>
        <w:rPr>
          <w:rFonts w:ascii="Times New Roman;serif" w:hAnsi="Times New Roman;serif"/>
          <w:b w:val="false"/>
          <w:i/>
          <w:color w:val="000000"/>
          <w:sz w:val="20"/>
        </w:rPr>
        <w:t>Eligibility and Administration.</w:t>
      </w:r>
      <w:r>
        <w:rPr>
          <w:color w:val="000000"/>
        </w:rPr>
        <w:t xml:space="preserve"> </w:t>
      </w:r>
      <w:r>
        <w:rPr>
          <w:rFonts w:ascii="Times New Roman;serif" w:hAnsi="Times New Roman;serif"/>
          <w:b w:val="false"/>
          <w:color w:val="000000"/>
          <w:sz w:val="20"/>
        </w:rPr>
        <w:t>Our employees, consultants, and directors are eligible to receive awards under the 2022 Plan. The 2022 plan is generally administered by our board of directors, which may delegate its duties and responsibilities to committees of our directors and/or officers (referred to collectively as the plan administrator below), subject to certain limitations that may be imposed under the 2022 Plan, Section 16 of the Exchange Act and/or stock exchange rules, as applicable. The plan administrator has the authority to make all determinations and interpretations under, prescribe all forms for use with, and adopt rules for the administration of, the 2022 Plan, subject to its express terms and conditions. The plan administrator also sets the terms and conditions of all awards under the 2022 Plan, including any vesting and vesting acceleration conditions.</w:t>
      </w:r>
    </w:p>
    <w:p>
      <w:pPr>
        <w:pStyle w:val="TextBody"/>
        <w:bidi w:val="0"/>
        <w:spacing w:lineRule="auto" w:line="288" w:before="0" w:after="180"/>
        <w:jc w:val="left"/>
        <w:rPr/>
      </w:pPr>
      <w:r>
        <w:rPr>
          <w:rFonts w:ascii="Times New Roman;serif" w:hAnsi="Times New Roman;serif"/>
          <w:b w:val="false"/>
          <w:i/>
          <w:color w:val="000000"/>
          <w:sz w:val="20"/>
        </w:rPr>
        <w:t>Limitation on Awards and Shares Available.</w:t>
      </w:r>
      <w:r>
        <w:rPr>
          <w:color w:val="000000"/>
        </w:rPr>
        <w:t xml:space="preserve"> </w:t>
      </w:r>
      <w:r>
        <w:rPr>
          <w:rFonts w:ascii="Times New Roman;serif" w:hAnsi="Times New Roman;serif"/>
          <w:b w:val="false"/>
          <w:color w:val="000000"/>
          <w:sz w:val="20"/>
        </w:rPr>
        <w:t xml:space="preserve">The number of shares available for issuance under awards granted pursuant to the 2022 Plan is 5,112,485. Shares issued under the 2022 Plan may be authorized but unissued shares, shares purchased on the open market or treasury shares. If an award under the 2022 Plan expires, lapses, or is terminated, surrendered or cancelled without having been fully exercised or forfeited, in any case, in a manner that results in us acquiring shares covered by the award at a price not greater than the price paid by the participant for such shares or not issuing any shares covered by the award, any shares subject to such award will, as applicable, become or again be available for new grants under the 2022 Plan. Further, shares delivered (either by actual delivery or attestation) to us by a participant to satisfy the applicable exercise or purchase price of an award and/or to satisfy any applicable tax withholding obligation (including shares retained by us from the award being exercised or purchased and/or creating the tax obligation) shall be added to the number of shares available for the grant of awards under the 2022 Plan. </w:t>
      </w:r>
    </w:p>
    <w:p>
      <w:pPr>
        <w:pStyle w:val="TextBody"/>
        <w:bidi w:val="0"/>
        <w:spacing w:lineRule="auto" w:line="288" w:before="0" w:after="180"/>
        <w:jc w:val="left"/>
        <w:rPr/>
      </w:pPr>
      <w:r>
        <w:rPr>
          <w:rFonts w:ascii="Times New Roman;serif" w:hAnsi="Times New Roman;serif"/>
          <w:b w:val="false"/>
          <w:i/>
          <w:color w:val="000000"/>
          <w:sz w:val="20"/>
        </w:rPr>
        <w:t>Awards.</w:t>
      </w:r>
      <w:r>
        <w:rPr>
          <w:color w:val="000000"/>
        </w:rPr>
        <w:t xml:space="preserve"> </w:t>
      </w:r>
      <w:r>
        <w:rPr>
          <w:rFonts w:ascii="Times New Roman;serif" w:hAnsi="Times New Roman;serif"/>
          <w:b w:val="false"/>
          <w:color w:val="000000"/>
          <w:sz w:val="20"/>
        </w:rPr>
        <w:t xml:space="preserve">The 2022 Plan provides for the grant of stock options, including incentive stock options, or ISOs within the meaning of Section 422 of the Code, and nonqualified stock options, or NSOs; restricted stock; dividend equivalents; restricted stock units, or RSUs; and other stock-based awards. Certain awards under the 2022 Plan may constitute or provide for a deferral of compensation, subject to Section 409A of the Code, which may impose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requirements on the terms and conditions of such awards. All awards under the 2022 Plan are set forth in award agreements, which detail the terms and conditions of the awards, including any applicable vesting and payment terms and post-termination exercise limitations. Awards generally will be settled in shares of our common stock, but the plan administrator may provide for cash settlement of any award. A brief description of each award type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 Options</w:t>
      </w:r>
      <w:r>
        <w:rPr>
          <w:rFonts w:ascii="Times New Roman;serif" w:hAnsi="Times New Roman;serif"/>
          <w:b w:val="false"/>
          <w:color w:val="000000"/>
          <w:sz w:val="20"/>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Restricted Stock and RSUs</w:t>
      </w:r>
      <w:r>
        <w:rPr>
          <w:rFonts w:ascii="Times New Roman;serif" w:hAnsi="Times New Roman;serif"/>
          <w:b w:val="false"/>
          <w:color w:val="000000"/>
          <w:sz w:val="20"/>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Other Stock-Based Awards</w:t>
      </w:r>
      <w:r>
        <w:rPr>
          <w:rFonts w:ascii="Times New Roman;serif" w:hAnsi="Times New Roman;serif"/>
          <w:b w:val="false"/>
          <w:color w:val="000000"/>
          <w:sz w:val="20"/>
        </w:rPr>
        <w:t>. Other stock-based awards are awards of fully vested shares of our common stock and other awards valued wholly or partially by referring to, or otherwise based on, shares of our common stock. Other stock-based awards may be granted to participants and may also be available as a payment form in the settlement of other awards, as standalone payments and as payment in lieu of compensation otherwise payable to any individual who is eligible to receive awards. The plan administrator will determine the terms and conditions of other stock-based awards, which may include vesting conditions based on continued service, performance and/or other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Dividend Equivalents</w:t>
      </w:r>
      <w:r>
        <w:rPr>
          <w:rFonts w:ascii="Times New Roman;serif" w:hAnsi="Times New Roman;serif"/>
          <w:b w:val="false"/>
          <w:color w:val="000000"/>
          <w:sz w:val="20"/>
        </w:rPr>
        <w:t>. RSUs may be accompanied by the right to receive the equivalent value of dividends paid on shares of our common stock prior to the delivery of the underlying shares. Such dividend equivalents will be paid out only to the extent that any vesting conditions are subsequently satisfied, unless otherwise determined by the plan administrator. No dividend equivalents will be payable on stock options or other stock-based awards.</w:t>
      </w:r>
    </w:p>
    <w:p>
      <w:pPr>
        <w:pStyle w:val="TextBody"/>
        <w:bidi w:val="0"/>
        <w:spacing w:lineRule="auto" w:line="288" w:before="0" w:after="180"/>
        <w:jc w:val="left"/>
        <w:rPr/>
      </w:pPr>
      <w:r>
        <w:rPr>
          <w:rFonts w:ascii="Times New Roman;serif" w:hAnsi="Times New Roman;serif"/>
          <w:b w:val="false"/>
          <w:i/>
          <w:color w:val="000000"/>
          <w:sz w:val="20"/>
        </w:rPr>
        <w:t>Certain Transactions.</w:t>
      </w:r>
      <w:r>
        <w:rPr>
          <w:color w:val="000000"/>
        </w:rPr>
        <w:t xml:space="preserve"> </w:t>
      </w:r>
      <w:r>
        <w:rPr>
          <w:rFonts w:ascii="Times New Roman;serif" w:hAnsi="Times New Roman;serif"/>
          <w:b w:val="false"/>
          <w:color w:val="000000"/>
          <w:sz w:val="20"/>
        </w:rPr>
        <w:t>In connection with certain transactions and events affecting our common stock, including a change in control (as defined below), or change in any applicable laws or accounting principles, the plan administrator has broad discretion to act under the 2022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to cancel or arrange for cancellation of eligibility for “early exercise” of an award (if applicable) or terminating awards under the 2022 Plan. In addition, in the event of certain non-reciprocal transactions with our stockholders (an equity restructuring), the plan administrator will make equitable adjustments to the 2022 Plan and outstanding awards as it deems appropriate to reflect the equity restructuring.</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purposes of the 2022 Plan, a “change in control” means and includes each of the following: (i) a merger or consolidation of us with or into any other corporation or other entity or person, (ii) a sale, lease, exchange or other transfer in one transaction or a series of related transactions of all or substantially all of our assets, or (iii) any other transaction, including the sale by us of new shares of its capital stock or a transfer of existing shares of capital stock, the result of which is that a third party that is not an affiliate of ours or its stockholders (or a group of third parties not affiliated with us or our stockholders) immediately prior to such transaction acquires or holds capital stock representing a majority of our outstanding voting power immediately following such transaction; provided that the following events shall not constitute a “change in control”: (A) a transaction (other than a sale of all or substantially all of our assets) in which the holders of the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(D) a reincorporation solely to change our jurisdiction; or (E) a transaction undertaken for the primary purpose of creating a holding company that will be owned in substantially the same proportion by the persons who held our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pStyle w:val="TextBody"/>
        <w:bidi w:val="0"/>
        <w:spacing w:lineRule="auto" w:line="288" w:before="0" w:after="180"/>
        <w:jc w:val="left"/>
        <w:rPr/>
      </w:pPr>
      <w:r>
        <w:rPr>
          <w:rFonts w:ascii="Times New Roman;serif" w:hAnsi="Times New Roman;serif"/>
          <w:b w:val="false"/>
          <w:i/>
          <w:color w:val="000000"/>
          <w:sz w:val="20"/>
        </w:rPr>
        <w:t>Foreign Participants, Claw</w:t>
        <w:noBreakHyphen/>
        <w:t>Back Provisions, Transferability, and Participant Payments.</w:t>
      </w:r>
      <w:r>
        <w:rPr>
          <w:color w:val="000000"/>
        </w:rPr>
        <w:t xml:space="preserve"> </w:t>
      </w:r>
      <w:r>
        <w:rPr>
          <w:rFonts w:ascii="Times New Roman;serif" w:hAnsi="Times New Roman;serif"/>
          <w:b w:val="false"/>
          <w:color w:val="000000"/>
          <w:sz w:val="20"/>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and to the extent set forth in such clawback policy or in the applicable award agreement. With limited exceptions for estate planning, domestic relations orders, certain beneficiary designations, and the laws of descent and distribution, awards under the 2022 Plan are generally nontransferable prior to vesting and are exercisable only by the participant. With regard to tax withholding obligations arising in connection with awards under the 2022 Plan and exercise price obligations arising in connection with the exercise of stock options under the 2022 Plan, the plan administrator may, in its discretion, accept cash or certified check, delivery of shares, including shares retained from the award creating the tax obligation, valued at fair market value; or such other consideration as it deems suitable or any combination of the foregoing.</w:t>
      </w:r>
    </w:p>
    <w:p>
      <w:pPr>
        <w:pStyle w:val="TextBody"/>
        <w:bidi w:val="0"/>
        <w:spacing w:lineRule="auto" w:line="288" w:before="0" w:after="180"/>
        <w:jc w:val="left"/>
        <w:rPr/>
      </w:pPr>
      <w:r>
        <w:rPr>
          <w:rFonts w:ascii="Times New Roman;serif" w:hAnsi="Times New Roman;serif"/>
          <w:b w:val="false"/>
          <w:i/>
          <w:color w:val="000000"/>
          <w:sz w:val="20"/>
        </w:rPr>
        <w:t>Plan Amendment and Termination.</w:t>
      </w:r>
      <w:r>
        <w:rPr>
          <w:color w:val="000000"/>
        </w:rPr>
        <w:t xml:space="preserve"> </w:t>
      </w:r>
      <w:r>
        <w:rPr>
          <w:rFonts w:ascii="Times New Roman;serif" w:hAnsi="Times New Roman;serif"/>
          <w:b w:val="false"/>
          <w:color w:val="000000"/>
          <w:sz w:val="20"/>
        </w:rPr>
        <w:t>Our board of directors may amend, suspend, or terminate the 2022 Plan or any portion thereof at any time. Stockholder approval of any amendment will be obtained to the extent required by applicable law. The plan administrator will have the authority, without the approval of our stockholders, to amend any outstanding stock option to reduce its exercise price per share or cancel outstanding stock options that have an exercise price in excess of fair market value in exchange for cash, other award or stock option with an exercise price per share that is less than the exercise price per share of the original stock option. No incentive stock option may be granted pursuant to the 2022 Plan after the tenth anniversary of the date on which our board of directors adopted the 2022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2007 Plan</w:t>
      </w:r>
    </w:p>
    <w:p>
      <w:pPr>
        <w:pStyle w:val="TextBody"/>
        <w:bidi w:val="0"/>
        <w:spacing w:lineRule="auto" w:line="288" w:before="0" w:after="180"/>
        <w:jc w:val="left"/>
        <w:rPr/>
      </w:pPr>
      <w:r>
        <w:rPr>
          <w:rFonts w:ascii="Times New Roman;serif" w:hAnsi="Times New Roman;serif"/>
          <w:b w:val="false"/>
          <w:i/>
          <w:color w:val="000000"/>
          <w:sz w:val="20"/>
        </w:rPr>
        <w:t>Eligibility and Administration.</w:t>
      </w:r>
      <w:r>
        <w:rPr>
          <w:color w:val="000000"/>
        </w:rPr>
        <w:t xml:space="preserve"> </w:t>
      </w:r>
      <w:r>
        <w:rPr>
          <w:rFonts w:ascii="Times New Roman;serif" w:hAnsi="Times New Roman;serif"/>
          <w:b w:val="false"/>
          <w:color w:val="000000"/>
          <w:sz w:val="20"/>
        </w:rPr>
        <w:t>Our key employees, nonemployee directors and advisors were eligible to receive awards of stock options under the 2007 Plan. The 2007 plan was generally administered by our board of directors, which could delegate its duties and responsibilities to committees of our directors and/or officers (referred to collectively as the plan administrator below), subject to certain limitations that may be imposed under the 2007 Plan, Section 16 of the Exchange Act and/or stock exchange rules, as applicable. The plan administrator had the authority to make all determinations and interpretations under, prescribe all forms for use with, and adopt rules for the administration of, the 2007 Plan, subject to its express terms and conditions. The plan administrator also set the terms and conditions of all awards under the 2007 Plan, including any vesting and vesting acceleration conditions.</w:t>
      </w:r>
    </w:p>
    <w:p>
      <w:pPr>
        <w:pStyle w:val="TextBody"/>
        <w:bidi w:val="0"/>
        <w:spacing w:lineRule="auto" w:line="288" w:before="0" w:after="180"/>
        <w:jc w:val="left"/>
        <w:rPr/>
      </w:pPr>
      <w:r>
        <w:rPr>
          <w:rFonts w:ascii="Times New Roman;serif" w:hAnsi="Times New Roman;serif"/>
          <w:b w:val="false"/>
          <w:i/>
          <w:color w:val="000000"/>
          <w:sz w:val="20"/>
        </w:rPr>
        <w:t>Limitation on Awards and Shares Available.</w:t>
      </w:r>
      <w:r>
        <w:rPr>
          <w:color w:val="000000"/>
        </w:rPr>
        <w:t xml:space="preserve"> </w:t>
      </w:r>
      <w:r>
        <w:rPr>
          <w:rFonts w:ascii="Times New Roman;serif" w:hAnsi="Times New Roman;serif"/>
          <w:b w:val="false"/>
          <w:color w:val="000000"/>
          <w:sz w:val="20"/>
        </w:rPr>
        <w:t xml:space="preserve">The number of shares available for issuance under awards granted pursuant to the 2007 Plan was 2,174,872. Shares issued under the 2007 Plan could have been authorized but unissued shares or shares issued and thereafter acquired by us. If an award under the 2007 Plan terminated without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having been fully exercised any shares subject to such award would have, as applicable, become or again been available for new grants under the 2007 Plan. </w:t>
      </w:r>
    </w:p>
    <w:p>
      <w:pPr>
        <w:pStyle w:val="TextBody"/>
        <w:bidi w:val="0"/>
        <w:spacing w:lineRule="auto" w:line="288" w:before="0" w:after="180"/>
        <w:jc w:val="left"/>
        <w:rPr/>
      </w:pPr>
      <w:r>
        <w:rPr>
          <w:rFonts w:ascii="Times New Roman;serif" w:hAnsi="Times New Roman;serif"/>
          <w:b w:val="false"/>
          <w:i/>
          <w:color w:val="000000"/>
          <w:sz w:val="20"/>
        </w:rPr>
        <w:t>Awards.</w:t>
      </w:r>
      <w:r>
        <w:rPr>
          <w:color w:val="000000"/>
        </w:rPr>
        <w:t xml:space="preserve"> </w:t>
      </w:r>
      <w:r>
        <w:rPr>
          <w:rFonts w:ascii="Times New Roman;serif" w:hAnsi="Times New Roman;serif"/>
          <w:b w:val="false"/>
          <w:color w:val="000000"/>
          <w:sz w:val="20"/>
        </w:rPr>
        <w:t>The 2007 Plan provided for the grant of nonqualified stock options, or NSOs. All awards under the 2007 Plan were set forth in award agreements, which detailed the terms and conditions of the awards, including any applicable vesting and payment terms and post-termination exercise limitations. A brief description of such stock options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 Options</w:t>
      </w:r>
      <w:r>
        <w:rPr>
          <w:rFonts w:ascii="Times New Roman;serif" w:hAnsi="Times New Roman;serif"/>
          <w:b w:val="false"/>
          <w:color w:val="000000"/>
          <w:sz w:val="20"/>
        </w:rPr>
        <w:t xml:space="preserve">. Stock options provide for the purchase of shares of our common stock in the future at an exercise price set on the grant date. The exercise price of a stock option will not be less than 100% of the fair market value of the underlying share on the date of grant, except with respect to certain substitute options granted in connection with a corporate transaction. The term of a stock option may not be longer than ten years. Vesting conditions determined by the plan administrator may apply to stock options and may include continued service, performance, and/or other conditions. </w:t>
      </w:r>
    </w:p>
    <w:p>
      <w:pPr>
        <w:pStyle w:val="TextBody"/>
        <w:bidi w:val="0"/>
        <w:spacing w:lineRule="auto" w:line="288" w:before="0" w:after="180"/>
        <w:jc w:val="left"/>
        <w:rPr/>
      </w:pPr>
      <w:r>
        <w:rPr>
          <w:rFonts w:ascii="Times New Roman;serif" w:hAnsi="Times New Roman;serif"/>
          <w:b w:val="false"/>
          <w:i/>
          <w:color w:val="000000"/>
          <w:sz w:val="20"/>
        </w:rPr>
        <w:t>Certain Transactions.</w:t>
      </w:r>
      <w:r>
        <w:rPr>
          <w:color w:val="000000"/>
        </w:rPr>
        <w:t xml:space="preserve"> </w:t>
      </w:r>
      <w:r>
        <w:rPr>
          <w:rFonts w:ascii="Times New Roman;serif" w:hAnsi="Times New Roman;serif"/>
          <w:b w:val="false"/>
          <w:color w:val="000000"/>
          <w:sz w:val="20"/>
        </w:rPr>
        <w:t xml:space="preserve">In the event of any “corporate transaction” (as defined below), each outstanding stock option would have automatically accelerated so that each such stock option would, immediately prior to the effective date of the corporate transaction, become fully exercisable for all of the shares of common stock at the time subject to such stock option and could have been exercised for any or all of those shares as fully-vested shares of common stock. However, an outstanding stock option would not have so accelerated if and to the extent: (i) such stock option was, in connection with the corporate transaction, either assumed by the successor corporation (or parent thereof) or was replaced with a comparable stock option to purchase shares of the capital stock of the successor corporation (or parent thereof), (ii) such stock option was replaced with a cash incentive program of the successor corporation which preserves the spread that existed on the unvested stock option shares at the time of the corporate transaction and provided for subsequent payout in accordance with the same vesting schedule applicable to such stock option or (iii) the acceleration of such stock option was subject to other limitations imposed by the plan administrator at the time of the stock option grant. The plan administrator had the discretion, exercisable at the time the stock option was granted or at any time while the stock option remained outstanding, to provide that any stock options which were assumed or replaced in a corporate transaction and did not otherwise accelerate at that time would have automatically accelerated (and any of our outstanding repurchase rights under an applicable shareholders agreement which did not otherwise terminate at the time of the corporate transaction automatically terminated) in the event the participant’s service should subsequently terminate by reason of an involuntary termination within 18 months following the effective date of such corporate transaction. Any stock options so accelerated remained exercisable for fully-vested shares until the earlier of (a) the expiration of the option term or (b) the expiration of the 1-year period measured from the effective date of the involuntary termination.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2007 Plan, a “corporate transaction” meant and included each of the following: (i) a merger or consolidation, or series of related transactions to effect such merger of consolidation, which resulted in the voting securities outstanding immediately prior thereto failing to continue to represent (either by remaining outstanding or by being converted into voting securities of the surviving or another entity) at least 50% of the combined voting power of our voting securities or such surviving or other entity outstanding immediately after such merger or consolidation, (ii) the sale, transfer or other disposition of all or substantially all of our assets (including our subsidiaries) taken as a whole to a party that was not a subsidiary of ours or (iii) the transfer or exchange of all or substantially all of our outstanding stock existing immediately prior thereto in a single transaction or series of related transactions for shares of another entity or other property in which, after such transaction, our prior shareholders owned 50% or less of the shares outstanding of the continuing or surviving entity. </w:t>
      </w:r>
    </w:p>
    <w:p>
      <w:pPr>
        <w:pStyle w:val="TextBody"/>
        <w:bidi w:val="0"/>
        <w:spacing w:lineRule="auto" w:line="288" w:before="0" w:after="180"/>
        <w:jc w:val="left"/>
        <w:rPr/>
      </w:pPr>
      <w:r>
        <w:rPr>
          <w:rFonts w:ascii="Times New Roman;serif" w:hAnsi="Times New Roman;serif"/>
          <w:b w:val="false"/>
          <w:i/>
          <w:color w:val="000000"/>
          <w:sz w:val="20"/>
        </w:rPr>
        <w:t>Transferability, and Participant Payments.</w:t>
      </w:r>
      <w:r>
        <w:rPr>
          <w:color w:val="000000"/>
        </w:rPr>
        <w:t xml:space="preserve"> </w:t>
      </w:r>
      <w:r>
        <w:rPr>
          <w:rFonts w:ascii="Times New Roman;serif" w:hAnsi="Times New Roman;serif"/>
          <w:b w:val="false"/>
          <w:color w:val="000000"/>
          <w:sz w:val="20"/>
        </w:rPr>
        <w:t xml:space="preserve">With limited exceptions for estate planning, domestic relations orders and the laws of descent and distribution, awards under the 2007 Plan were generally nontransferable prior to vesting and are exercisable only by the participant. With regard to tax withholding obligations arising in connection with awards under the 2007 Plan and exercise price obligations arising in connection with the exercise of stock options under the 2007 Plan, the plan administrator could have, in its discretion, accepted cash or check, or any other form of valid consideration as permitted by the plan administrator in its discretion.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i/>
          <w:color w:val="000000"/>
          <w:sz w:val="20"/>
        </w:rPr>
        <w:t>Plan Amendment and Termination.</w:t>
      </w:r>
      <w:r>
        <w:rPr>
          <w:color w:val="000000"/>
        </w:rPr>
        <w:t xml:space="preserve"> </w:t>
      </w:r>
      <w:r>
        <w:rPr>
          <w:rFonts w:ascii="Times New Roman;serif" w:hAnsi="Times New Roman;serif"/>
          <w:b w:val="false"/>
          <w:color w:val="000000"/>
          <w:sz w:val="20"/>
        </w:rPr>
        <w:t xml:space="preserve">The 2007 Plan shall terminate with respect to NSOs on the date that is twenty years after the adoption of the Plan. Subject to the limitations contained in the 2007 Plan, the plan administrator could have at any time amended or revised the terms of the 2007 Plan, including the form and substance of the stock option agreements used in connection therewith. No amendment, suspension, or termination of the 2007 Plan could have, without the consent of the participant who received a stock option under the 2007 Plan, alter or impair any of that participant’s rights or obligations under any stock option granted under the 2007 Plan prior to such amendment, suspension, or termination.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2025, we paid certain of our non-employee directors an annual cash retainer of $50,000. From time to time, we have granted stock-based compensation to the non-employee members of our board of directors for their services as directors. In March 2025, we granted each of Mr. Mead and Ms. Lucchese stock options to purchase 25,140 shares of our common stock, with an exercise price of $3.73 per share, which was the fair market value on the date of grant as determined by our board of directors based on an independent third-party valuation. In October 2025, we granted each of Mr. Mead and Ms. Lucchese stock options to purchase 17,728 shares of our common stock, with an exercise price of $3.94 per share, which was the fair market value on the date of grant as determined by our board of directors based on an independent third-party valuation. These stock options vest over a period of four years, with 25% vesting on the first anniversary of the date of grant and the remainder vesting in substantially equal monthly installments over the three years thereafter.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reimbursed, and will continue to reimburse, our non-employee directors for their actual out-of-pocket costs and expenses incurred in connection with attending board meetings. Richard Foust, our President and Chief Executive Officer, Nelson Bunker Curnes, our Chief Financial Officer, and Thomas Jordan Curnes II, our Co-Founder, are employees and are also members of our board of directors, but do not receive any additional compensation for their service as directors in addition to their employment compensation. Mr. Foust’s compensation arrangements are described above under the section titled ““—Narrative to Summary Compensation Table.” The employment arrangements with Mr. Jordan Curnes II and Mr. Bunker Curnes are described below.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Director Compensation Table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compensation earned with respect to the fiscal year ended December 31, 2025 by each individual who served as a non-employee director during such fiscal year.</w:t>
      </w:r>
    </w:p>
    <w:tbl>
      <w:tblPr>
        <w:tblW w:w="8365" w:type="dxa"/>
        <w:jc w:val="left"/>
        <w:tblInd w:w="0" w:type="dxa"/>
        <w:tblLayout w:type="fixed"/>
        <w:tblCellMar>
          <w:top w:w="28" w:type="dxa"/>
          <w:left w:w="28" w:type="dxa"/>
          <w:bottom w:w="28" w:type="dxa"/>
          <w:right w:w="28" w:type="dxa"/>
        </w:tblCellMar>
      </w:tblPr>
      <w:tblGrid>
        <w:gridCol w:w="793"/>
        <w:gridCol w:w="695"/>
        <w:gridCol w:w="702"/>
        <w:gridCol w:w="109"/>
        <w:gridCol w:w="109"/>
        <w:gridCol w:w="109"/>
        <w:gridCol w:w="489"/>
        <w:gridCol w:w="1673"/>
        <w:gridCol w:w="252"/>
        <w:gridCol w:w="109"/>
        <w:gridCol w:w="109"/>
        <w:gridCol w:w="109"/>
        <w:gridCol w:w="322"/>
        <w:gridCol w:w="1101"/>
        <w:gridCol w:w="166"/>
        <w:gridCol w:w="109"/>
        <w:gridCol w:w="109"/>
        <w:gridCol w:w="109"/>
        <w:gridCol w:w="211"/>
        <w:gridCol w:w="82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Option 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Maxwell Bikoff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Hanlon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(Bill) Harrington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Lucchese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Dana G. Mead,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Casey Tansey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reflect the full grant-date fair value of stock options granted during 2025 computed in accordance with ASC Topic 718. We provide information regarding the assumptions used to calculate the value of all option awards made to our directors in Note 11 to the consolidated financial statements included in this prospectus. The amounts reported in this column reflect the accounting cost for the stock options and do not reflect the actual economic value that will be realized by our non-employee directors upon the vesting or exercise of such awards or the sale of the common stock underlying such awards.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shows the aggregate numbers of stock options (exercisable and unexercisable) held as of December 31, 2025 by each non-employee director who was serving as of December 31, 2025.</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tbl>
      <w:tblPr>
        <w:tblW w:w="5172" w:type="dxa"/>
        <w:jc w:val="left"/>
        <w:tblInd w:w="0" w:type="dxa"/>
        <w:tblLayout w:type="fixed"/>
        <w:tblCellMar>
          <w:top w:w="28" w:type="dxa"/>
          <w:left w:w="28" w:type="dxa"/>
          <w:bottom w:w="28" w:type="dxa"/>
          <w:right w:w="28" w:type="dxa"/>
        </w:tblCellMar>
      </w:tblPr>
      <w:tblGrid>
        <w:gridCol w:w="558"/>
        <w:gridCol w:w="490"/>
        <w:gridCol w:w="497"/>
        <w:gridCol w:w="109"/>
        <w:gridCol w:w="109"/>
        <w:gridCol w:w="109"/>
        <w:gridCol w:w="964"/>
        <w:gridCol w:w="964"/>
        <w:gridCol w:w="1372"/>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 at December 31, 2025</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Lucchese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118,370 </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Dana G. Mead,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118,370 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Director Compensation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our board of directors adopted and will ask our stockholders to approve the terms of a non-employee director compensation program. Pursuant to this non-employee director compensation program, each non-employee director will receive a mixture of cash and equity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this program, each eligible non-employee director will receive an annual cash retainer of $45,000 that will be paid quarterly in arrears. In addition, an eligible director serving as chair of our board of directors will receive an additional cash retainer of $40,000; the chairperson of the audit committee will receive an additional cash retainer of $20,000 and each other member of the audit committee will receive an additional cash retainer of $10,000; the chairperson of the compensation committee will receive an additional cash retainer of $17,500 and each other member of the compensation committee will receive an additional cash retainer of $10,000; and the chairperson of the nominating and corporate governance committee will receive an additional cash retainer of $12,500 and each other member of the nominating and corporate governance committee will receive an additional cash retainer of $7,500.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each of our non-employee directors will receive an award of stock options on the date on which this registration statement becomes effective with a grant value of $260,000 at an exercise price equal to the initial public offering price in this offering. The number of options granted to each non-employee director will be the quotient obtained by dividing (a) $260,000 by (b) 55% of the initial public offering price in this offering, with the resulting number of options rounded up to the nearest 10 shares. These stock options will generally vest in three substantially equal installments on the first three anniversaries of the grant date, subject to the non-employee director continuing service through each such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Also, pursuant to this program, on the date of each annual meeting of our stockholders following this offering, we intend to grant each eligible non-employee director an annual equity award of stock options with a grant date fair value of $130,000 (as computed in accordance with ASC Topic 718) (an Annual Award), which will generally vest in full on the earlier of (i) the day immediately prior to the date of our annual stockholder meeting immediately following the date of grant and (ii) the first anniversary of the grant date, subject to the non-employee director continuing service through such date. Following this offering, an individual who is appointed or elected to our board of directors will receive (a) an initial equity award on the date of such election or appointment of stock options with a grant date fair value of $130,000 (as computed in accordance with ASC Topic 718) (an Initial Award), which will generally vest in three substantially equal installments on the first three anniversaries of the grant date and (b) a prorated Annual Award based on the number of months remaining in the 12-month period measured from the annual meeting of the Company’s stockholders preceding the date of such election or appointment, in each case of the Initial Award and prorated Annual Award, subject to the non-employee director continuing service through each such vesting date. In the event of a change in control (as defined in the 2026 Plan), or a director’s termination of service due to death or disability, all outstanding equity awards granted to our non-employee directors pursuant to this program will accelerate and vest in full.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Employment Arrangements with Thomas Jordan Curnes II and Nelson Bunker Curnes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enter into Restated Employment Agreements with each of Mr. Jordan Curnes II and Mr. Bunker Curnes effective upon the effectiveness of the registration statement relating to this offering. The terms of these Restated Employment Agreements are generally consistent with the terms of each of the employment agreements described below, other than the Restated Employment Agreements do not include severance provisions and instead provide that each of Mr. Jordan Curnes II and Mr. Bunker Curnes are eligible to participate in our Severance Plan. Upon the effectiveness of the Restated Employment Agreements, Mr. Jordan Curnes II and Mr. Bunker Curnes will be eligible for an annual base salary of $255,000 and $430,000, respectively, and a target annual bonus equal to 40% and 60% of his annual base salary, respectively. The Restated Employment Agreement with Mr. Jordan Curnes II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will also provide that (i) in the event of a change in control, or Mr. Jordan Curnes’ termination of employment without Cause, any then unvested stock options held by him that were granted prior to the consummation of this offering will immediately become fully vested immediately prior to such termination or the consummation of such change in control and (ii) in the event of a change in control, such stock options will be assumed by the successor entity (or one of its affiliates) or Mr. Jordan Curnes shall be granted an equivalent option or right by such successor entity (or one of its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Mr. Jordan Curnes II and Mr. Bunker Curnes have been designated as Tier 2 Covered Employees under the Severance Plan.</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Thomas Jordan Curnes II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employment agreement with Mr. Jordan Curnes II (the Curnes II Employment Agreement). Mr. Jordan Curnes II’s employment with us is at-will. The Curnes II Employment Agreement provides that Mr. Jordan Curnes II will be entitled to an annual base salary, which was $240,000, $247,200 and $254,616, respectively, in each of 2023, 2024 and 2025. Mr. Jordan Curnes II also received an annual bonus payment in each of 2023, 2024 and 2025 equal to $68,400, $85,520 and $93,571,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Curnes II Employment Agreement provides that upon termination of Mr. Jordan Curnes II’s employment by us without Cause (as defined below), he will be entitled to receive, in addition to any accrued amounts, a lump sum payment equal to 12 months of his base salary (based on the highest 12-month total he had or would have received if he had remained employed for the full term of the Curnes II Employment Agreement). Additionally, in the event of a change in control, or Mr. Jordan Curnes’ termination of employment without Cause, any then unvested stock options held by him will immediately become fully vested immediately prior to such termination or the consummation of such change in control.</w:t>
      </w:r>
    </w:p>
    <w:p>
      <w:pPr>
        <w:pStyle w:val="TextBody"/>
        <w:bidi w:val="0"/>
        <w:spacing w:lineRule="auto" w:line="288" w:before="0" w:after="180"/>
        <w:jc w:val="left"/>
        <w:rPr/>
      </w:pPr>
      <w:r>
        <w:rPr>
          <w:rFonts w:ascii="Times New Roman;serif" w:hAnsi="Times New Roman;serif"/>
          <w:b w:val="false"/>
          <w:color w:val="000000"/>
          <w:sz w:val="20"/>
        </w:rPr>
        <w:t xml:space="preserve">As defined in the Curnes II Employment Agreement, “Cause” generally means any of the following: (i) Mr. Jordan Curnes II’s repeated failure to perform his assigned duties (other than as a result of a cause or event outside of his control), or to perform and observe his employment obligations under the Curnes II Agreement, in either case if such failure is intentional or continues for 30 or more days after our board of directors gives written notice thereof to Mr. Jordan Curnes II; (ii) any material breach of the Curnes II Employment Agreement by Mr. Jordan Curnes II and such breach continues for 30 or more days after we give written notice thereof to the him; or (iii) his conviction of or a plea of guilty or </w:t>
      </w:r>
      <w:r>
        <w:rPr>
          <w:rFonts w:ascii="Times New Roman;serif" w:hAnsi="Times New Roman;serif"/>
          <w:b w:val="false"/>
          <w:i/>
          <w:color w:val="000000"/>
          <w:sz w:val="20"/>
        </w:rPr>
        <w:t>nolo contendre</w:t>
      </w:r>
      <w:r>
        <w:rPr>
          <w:color w:val="000000"/>
        </w:rPr>
        <w:t xml:space="preserve"> </w:t>
      </w:r>
      <w:r>
        <w:rPr>
          <w:rFonts w:ascii="Times New Roman;serif" w:hAnsi="Times New Roman;serif"/>
          <w:b w:val="false"/>
          <w:color w:val="000000"/>
          <w:sz w:val="20"/>
        </w:rPr>
        <w:t>to a charge of felony, or for a misdemeanor involving fraud, embezzlement, theft, dishonesty or breach of fiduciary duty, or other criminal conduct, or the violation of any state or federal law (other than traffic violations or other insignificant infractions of law that do not affect the performance of duties hereunder); or (iv) any material violation of our written policies and such violation continues for 30 or more days after we give written notice thereof to Mr. Jordan Curnes II.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Mr. Jordan Curnes II also entered into a PIIA which includes confidentiality and assignment of intellectual property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each of March 27, 2025 and October 17, 2025, we granted Mr. Jordan Curnes II options to purchase 18,343 and 51,057 shares of our common stock, with exercise prices of $4.11 and $3.94, respectively, which was the fair market value per share on the applicable date of grant as determined by an independent third party valuation. The options vest as to 25% of the options on the first anniversary of the vesting commencement date and as to 1/48th of the options on each monthly anniversary of the vesting commencement date thereafter for 36 months, subject to Mr. Jordan Curnes II’s continuous service with us as of each such vesting date. We did not grant any equity awards to Mr. Jordan Curnes II in 2023 or 2024.</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Nelson Bunker Curnes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employment agreement with Mr. Bunker Curnes (the Curnes Employment Agreement). Mr. Bunker Curnes’ employment with us is at-will. The Curnes Employment Agreement provides that Mr. Bunker Curnes will be entitled to an annual base salary, which was $247,200, $340,000 and $380,000, respectively, in each of 2023, 2024 and 2025, and that Mr. Bunker Curnes is eligible to participate in our 401(k) plan. Mr. Bunker Curnes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also received an annual bonus payment in each of 2023, 2024 and 2025 equal to $68,400, $85,520 and $124,950,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Curnes Employment Agreement includes certain confidentiality provisions and certain restrictive covenants, including one-year post employment non-interference and non-competition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each of March 27, 2025 and October 17, 2025, we granted Mr. Bunker Curnes options to purchase 81,261 and 34,037 shares of our common stock, with exercise prices of $4.11 and $3.94, respectively, which was the fair market value per share on the applicable date of grant as determined by an independent third party valuation. The options vest as to 25% of the options on the first anniversary of the vesting commencement date and as to 1/48th of the options on each monthly anniversary of the vesting commencement date thereafter for 36 months, subject to Mr. Bunker Curnes’ continuous service with us as of each such vesting date. We did not grant any equity awards to Mr. Bunker Curnes in 2023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CERTAIN RELATIONSHIPS AND RELATED PARTY TRANSACTIONS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compensation arrangements, including employment, termination of employment, and change in control arrangements, with our directors and executive officers, including those discussed in the sections titled “Management” and “Executive and Director Compensation,” and the registration rights described in the section titled “Description of Capital Stock—Registration Rights,” the following is a description of each transaction since January 1, 2023 and each currently proposed transaction in which: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amount involved exceeded or exceeds $120,000 or one percent of the average of our total assets at year-end for the last two completed fiscal years;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of our directors, executive officers, or holders of more than 5% of our common stock, or any member of the immediate family of the foregoing persons, had or will have a direct or indirect material interest.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E Redeemable Convertible Preferred Stock Financing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and October 2024, we issued and sold 5,895,531 shares and 5,895,531 shares, respectively, of our Series E-2 redeemable convertible preferred stock at a purchase price of $2.5443 per share for an aggregate purchase price of approximately $15.0 million for each tranche. Each share of our Series E-2 convertible preferred stock will convert into 0.287108814 shares of common stock immediately prior to the completion of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the number of shares of Series E-2 redeemable convertible preferred stock sold to our directors, executive officers, and holders of more than 5% of our capital stock: </w:t>
      </w:r>
    </w:p>
    <w:tbl>
      <w:tblPr>
        <w:tblW w:w="10205" w:type="dxa"/>
        <w:jc w:val="left"/>
        <w:tblInd w:w="0" w:type="dxa"/>
        <w:tblLayout w:type="fixed"/>
        <w:tblCellMar>
          <w:top w:w="28" w:type="dxa"/>
          <w:left w:w="28" w:type="dxa"/>
          <w:bottom w:w="28" w:type="dxa"/>
          <w:right w:w="28" w:type="dxa"/>
        </w:tblCellMar>
      </w:tblPr>
      <w:tblGrid>
        <w:gridCol w:w="1252"/>
        <w:gridCol w:w="790"/>
        <w:gridCol w:w="796"/>
        <w:gridCol w:w="109"/>
        <w:gridCol w:w="109"/>
        <w:gridCol w:w="109"/>
        <w:gridCol w:w="709"/>
        <w:gridCol w:w="497"/>
        <w:gridCol w:w="499"/>
        <w:gridCol w:w="109"/>
        <w:gridCol w:w="109"/>
        <w:gridCol w:w="109"/>
        <w:gridCol w:w="211"/>
        <w:gridCol w:w="976"/>
        <w:gridCol w:w="109"/>
        <w:gridCol w:w="109"/>
        <w:gridCol w:w="109"/>
        <w:gridCol w:w="109"/>
        <w:gridCol w:w="709"/>
        <w:gridCol w:w="497"/>
        <w:gridCol w:w="499"/>
        <w:gridCol w:w="109"/>
        <w:gridCol w:w="109"/>
        <w:gridCol w:w="109"/>
        <w:gridCol w:w="212"/>
        <w:gridCol w:w="981"/>
        <w:gridCol w:w="160"/>
      </w:tblGrid>
      <w:tr>
        <w:trPr/>
        <w:tc>
          <w:tcPr>
            <w:tcW w:w="12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Tranche 2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Tranche 2 Closing</w:t>
            </w:r>
          </w:p>
        </w:tc>
      </w:tr>
      <w:tr>
        <w:trPr/>
        <w:tc>
          <w:tcPr>
            <w:tcW w:w="28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Participants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Series E-2 Redeemable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Aggregate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Purchase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Series E-2 Redeemable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Aggregate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 Price</w:t>
            </w:r>
          </w:p>
        </w:tc>
      </w:tr>
      <w:tr>
        <w:trPr/>
        <w:tc>
          <w:tcPr>
            <w:tcW w:w="2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U.S. Venture Partners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1,473,882 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1,473,883 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GPG Healthcare Opportunities Fund, LLC</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1,795,001 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Osage University Partners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982,588 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982,588 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Lyda Hunt – Bunker Trust – Elizabeth H Curnes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786,070 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786,071 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Action Potential Venture Capital, Limited</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978,658 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978,658 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Exceller Hunt Microtransponder 2017,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(1)Entities affiliated with U.S. Venture Partners holding shares of our Series E-2 redeemable convertible preferred stock which are aggregated for purposes of reporting share ownership information include U.S. Venture Partners XII, L.P. and U.S. Venture Partners XII-A, L.P.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(2)Entities affiliated with GPG Healthcare Opportunities Fund, LLC holding shares of our Series E-2 redeemable convertible preferred stock which are aggregated for purposes of reporting share ownership information include GPG MTI 22, LLC, GPG GR, LLC, GPG Healthcare Opportunities Fund II, LLC, GPG SC, LLC and GPG JCT, LLC.</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 November 2025, Action Potential Venture Capital, Limited assigned all of its shares of Series E-2 Redeemable Convertible Preferred Stock and Series F Redeemable Convertible Preferred Stock to Synapse Investment, 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directors and executive officers are associated with the principal stockholders listed in the table above: </w:t>
      </w:r>
    </w:p>
    <w:tbl>
      <w:tblPr>
        <w:tblW w:w="10205" w:type="dxa"/>
        <w:jc w:val="left"/>
        <w:tblInd w:w="0" w:type="dxa"/>
        <w:tblLayout w:type="fixed"/>
        <w:tblCellMar>
          <w:top w:w="28" w:type="dxa"/>
          <w:left w:w="28" w:type="dxa"/>
          <w:bottom w:w="28" w:type="dxa"/>
          <w:right w:w="28" w:type="dxa"/>
        </w:tblCellMar>
      </w:tblPr>
      <w:tblGrid>
        <w:gridCol w:w="781"/>
        <w:gridCol w:w="686"/>
        <w:gridCol w:w="692"/>
        <w:gridCol w:w="109"/>
        <w:gridCol w:w="109"/>
        <w:gridCol w:w="109"/>
        <w:gridCol w:w="2267"/>
        <w:gridCol w:w="2255"/>
        <w:gridCol w:w="3197"/>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Director /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Stockholder</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Casey Tansey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Entities affiliated with U.S. Venture Partners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Nelson Bunker Curnes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 and Lyda Hunt – Bunker Trust – Elizabeth H Curnes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Jordan Curnes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William (Bill) Harrington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Entities affiliated with Osage University Partners</w:t>
            </w:r>
          </w:p>
        </w:tc>
      </w:tr>
    </w:tbl>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Series F Redeemable Convertible Preferred Stock Financing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March 2025, we issued and sold an aggregate of 12,349,423 shares of our Series F redeemable convertible preferred stock at a purchase price of $2.6317 per share for an aggregate purchase price of approximately $32.5 million in the first closing. In October 2025, we issued and sold an aggregate of 12,349,423 shares of our Series F redeemable convertible preferred stock at a purchase price of $2.6317 per share for an aggregate purchase price of approximately $32.5 million in a second closing. Each share of our Series F convertible preferred stock will convert into 0.287108814 shares of common stock immediately prior to the completion of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the number of shares of Series F redeemable convertible preferred stock sold to our directors, executive officers, and holders of more than 5% of our capital stock: </w:t>
      </w:r>
    </w:p>
    <w:tbl>
      <w:tblPr>
        <w:tblW w:w="10205" w:type="dxa"/>
        <w:jc w:val="left"/>
        <w:tblInd w:w="0" w:type="dxa"/>
        <w:tblLayout w:type="fixed"/>
        <w:tblCellMar>
          <w:top w:w="28" w:type="dxa"/>
          <w:left w:w="28" w:type="dxa"/>
          <w:bottom w:w="28" w:type="dxa"/>
          <w:right w:w="28" w:type="dxa"/>
        </w:tblCellMar>
      </w:tblPr>
      <w:tblGrid>
        <w:gridCol w:w="946"/>
        <w:gridCol w:w="542"/>
        <w:gridCol w:w="546"/>
        <w:gridCol w:w="109"/>
        <w:gridCol w:w="109"/>
        <w:gridCol w:w="109"/>
        <w:gridCol w:w="777"/>
        <w:gridCol w:w="501"/>
        <w:gridCol w:w="503"/>
        <w:gridCol w:w="109"/>
        <w:gridCol w:w="109"/>
        <w:gridCol w:w="109"/>
        <w:gridCol w:w="221"/>
        <w:gridCol w:w="1290"/>
        <w:gridCol w:w="114"/>
        <w:gridCol w:w="109"/>
        <w:gridCol w:w="109"/>
        <w:gridCol w:w="109"/>
        <w:gridCol w:w="777"/>
        <w:gridCol w:w="501"/>
        <w:gridCol w:w="503"/>
        <w:gridCol w:w="109"/>
        <w:gridCol w:w="109"/>
        <w:gridCol w:w="109"/>
        <w:gridCol w:w="220"/>
        <w:gridCol w:w="1289"/>
        <w:gridCol w:w="167"/>
      </w:tblGrid>
      <w:tr>
        <w:trPr/>
        <w:tc>
          <w:tcPr>
            <w:tcW w:w="9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Second Tranche</w:t>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Series F 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Purchase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Series F 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Purchase Price </w:t>
            </w:r>
          </w:p>
        </w:tc>
      </w:tr>
      <w:tr>
        <w:trPr/>
        <w:tc>
          <w:tcPr>
            <w:tcW w:w="2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U.S. Venture Partners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2,821,369 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7,424,996.82 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2,821,369 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7,424,996.82 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GPG Healthcare Opportunities Fund, LLC</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844,509 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2,222,494.36 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844,509 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2,222,494.36 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Osage University Partners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2,089,903 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5,499,997.74 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2,089,903 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5,499,997.74 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Lyda Hunt – Bunker Trust – Elizabeth H Curnes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1,499,997.95 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1,499,997.95 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Action Potential Venture Capital, Limited</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949,956 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2,499,999.21 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949,956 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2,499,999.21 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Exceller Hunt Microtransponder 2017,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1,499,997.95 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1,499,997.95 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Curnes Fund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1,124,999.12 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1,124,999.12 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(1)Entities affiliated with U.S. Venture Partners holding shares of our Series F redeemable convertible preferred stock which are aggregated for purposes of reporting share ownership information include U.S. Venture Partners Select Fund I, L.P. on its own behalf and as a nominee for U.S. Venture Partners Select Fund I-A, L.P., U.S. Venture Partners XII, L.P. and U.S. Venture Partners XII-A, L.P.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(2)Entities affiliated with GPG Healthcare Opportunities Fund, LLC holding shares of our Series F redeemable convertible preferred stock which are aggregated for purposes of reporting share ownership information include GPG Charles &amp; Potomac, LLC, GPG Dais, LLC, GPG Healthcare Opportunities Fund II, LLC, GPG MTI 22, LLC, GPG MTI 25, LLC and GPG SC, LLC.</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(3)Entities affiliated with Osage University Partners holding shares of our Series F redeemable convertible preferred stock which are aggregated for purposes of reporting share ownership information include Osage University Partners III, LP and Osage University Partners IV, L.P.</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 November 2025, Action Potential Venture Capital, Limited assigned all of its shares of Series F Redeemable Convertible Preferred Stock and Series E-2 Redeemable Convertible Preferred Stock to Synapse Investment, 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directors and executive officers are associated with the principal stockholders listed in the table above: </w:t>
      </w:r>
    </w:p>
    <w:tbl>
      <w:tblPr>
        <w:tblW w:w="10205" w:type="dxa"/>
        <w:jc w:val="left"/>
        <w:tblInd w:w="0" w:type="dxa"/>
        <w:tblLayout w:type="fixed"/>
        <w:tblCellMar>
          <w:top w:w="28" w:type="dxa"/>
          <w:left w:w="28" w:type="dxa"/>
          <w:bottom w:w="28" w:type="dxa"/>
          <w:right w:w="28" w:type="dxa"/>
        </w:tblCellMar>
      </w:tblPr>
      <w:tblGrid>
        <w:gridCol w:w="690"/>
        <w:gridCol w:w="607"/>
        <w:gridCol w:w="612"/>
        <w:gridCol w:w="109"/>
        <w:gridCol w:w="109"/>
        <w:gridCol w:w="109"/>
        <w:gridCol w:w="2411"/>
        <w:gridCol w:w="2299"/>
        <w:gridCol w:w="3259"/>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Director /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Stockholder</w:t>
            </w:r>
          </w:p>
        </w:tc>
      </w:tr>
      <w:tr>
        <w:trPr/>
        <w:tc>
          <w:tcPr>
            <w:tcW w:w="1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Casey Tansey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Entities affiliated with U.S. Venture Partners</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Nelson Bunker Curnes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 Lyda Hunt – Bunker Trust – Elizabeth H Curnes, and Curnes Fund 2001</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Jordan Curnes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 and Curnes Fund 2001</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William (Bill) Harrington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Entities affiliated with Osage University Partners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Convertible Note Financing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January 30, 2026 through February 11, 2026, we issued the 2026 Convertible Notes to certain investors in an aggregate principal amount of $40.0 million. Immediately prior to the closing of this offering, the 2026 Convertible Notes and any accrued interest will automatically convert into shares of our common stock at the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conversion price. Based on the initial public offering price of $15.00 per share, and without giving effect to accrued interest (if any), the 2026 Convertible Notes will automatically convert into an aggregate of 3,333,324 shares of our common stock immediately prior to the closing of this offering. The table below sets forth the principal amount of the 2026 Convertible Notes issued to our directors, executive officers, and holders of more than 5% of our capital stock: </w:t>
      </w:r>
    </w:p>
    <w:tbl>
      <w:tblPr>
        <w:tblW w:w="9192" w:type="dxa"/>
        <w:jc w:val="left"/>
        <w:tblInd w:w="0" w:type="dxa"/>
        <w:tblLayout w:type="fixed"/>
        <w:tblCellMar>
          <w:top w:w="28" w:type="dxa"/>
          <w:left w:w="28" w:type="dxa"/>
          <w:bottom w:w="28" w:type="dxa"/>
          <w:right w:w="28" w:type="dxa"/>
        </w:tblCellMar>
      </w:tblPr>
      <w:tblGrid>
        <w:gridCol w:w="2003"/>
        <w:gridCol w:w="1760"/>
        <w:gridCol w:w="1772"/>
        <w:gridCol w:w="109"/>
        <w:gridCol w:w="109"/>
        <w:gridCol w:w="109"/>
        <w:gridCol w:w="440"/>
        <w:gridCol w:w="2569"/>
        <w:gridCol w:w="321"/>
      </w:tblGrid>
      <w:tr>
        <w:trPr/>
        <w:tc>
          <w:tcPr>
            <w:tcW w:w="200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of 2026 Convertible Note</w:t>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U.S. Venture Partners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3,769,090.08 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GPG Healthcare Opportunities Fund, LLC</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7,438,878.52 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Osage University Partners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6,588,847.28 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Exceller Hunt Microtransponder 2017,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4,000,000.00 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Synapse Investment,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Coöperatieve Gilde Healthcare VG VI U.A.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3,971,192.75 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Longitude Venture Partners V,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3,971,192.75 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Casey Tansey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2,000,000.00 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Curnes Fund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2,100,937.62 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(1)Entities affiliated with U.S. Venture Partners holding the 2026 Convertible Notes include U.S. Venture Partners Select Fund I, L.P. on its own behalf and as a nominee for U.S. Venture Partners Select Fund I-A, L.P.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(2)Entities affiliated with GPG Healthcare Opportunities Fund, LLC holding the 2026 Convertible Notes which are aggregated for purposes of reporting share ownership information include GPG MTI 22, LLC, GPG MTIF, LLC, GPG Charles &amp; Potomac, LLC, GPG JCT, LLC, GPG Dais, LLC, GPG SC, LLC, GPG WG, LLC and GPG Healthcare Opportunities Fund II, LLC.</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(3)Entities affiliated with Osage University Partners holding shares of our Series F redeemable convertible preferred stock which are aggregated for purposes of reporting share ownership information include Osage University Partners III, LP and Osage University Partners IV, 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directors and executive officers are associated with the principal stockholders listed in the table above: </w:t>
      </w:r>
    </w:p>
    <w:tbl>
      <w:tblPr>
        <w:tblW w:w="7962" w:type="dxa"/>
        <w:jc w:val="left"/>
        <w:tblInd w:w="0" w:type="dxa"/>
        <w:tblLayout w:type="fixed"/>
        <w:tblCellMar>
          <w:top w:w="28" w:type="dxa"/>
          <w:left w:w="28" w:type="dxa"/>
          <w:bottom w:w="28" w:type="dxa"/>
          <w:right w:w="28" w:type="dxa"/>
        </w:tblCellMar>
      </w:tblPr>
      <w:tblGrid>
        <w:gridCol w:w="792"/>
        <w:gridCol w:w="696"/>
        <w:gridCol w:w="702"/>
        <w:gridCol w:w="109"/>
        <w:gridCol w:w="109"/>
        <w:gridCol w:w="109"/>
        <w:gridCol w:w="1594"/>
        <w:gridCol w:w="1594"/>
        <w:gridCol w:w="225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Director /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Stockholder</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Casey Tansey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Entities affiliated with U.S. Venture Partners</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Nelson Bunker Curnes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 and Curnes Fund 2001</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Jordan Curnes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Exceller Hunt Microtransponder 2017, LP and Curnes Fund 2001</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William (Bill) Harrington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Entities affiliated with Osage University Partners</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Hanlon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Coöperatieve Gilde Healthcare VG VI U.A.</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Maxwell Bikoff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Longitude Venture Partners V, L.P.</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Employment Matter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Kimberly Tansey has served as one of our territory managers since January 2025. Ms. Tansey is the daughter of Casey Tansey, who currently serves as a member of our board of directors. Ms. Tansey’s annual compensation for the year ended December 31, 2025 was comparable to the compensation of other of our territory managers with similar experience and responsibilities and exceeded $120,000.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Consultant Matter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Dana Mead III has served as our director of strategic programs since March 2026. Mr. Mead III is the son of Dana G. Mead, Jr., who currently serves as a member of our board of directors. Mr. Mead III previously served as a consultant. As a consultant, compensation was determined based on time and materials utilized in connection with the provision of consulting services to us. For the year ended December 31, 2025, we paid an aggregate amount of approximately $250,000 for such consulting services.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Agreements with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Amended and Restated Registration Rights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registration rights agreement with certain holders of our capital stock, including entities with which certain of our directors are affiliated. Under our amended and restated registration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Amended and Restated Shareholders’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shareholders’ agreement under which certain holders of our capital stock, including the holders of more than 1% of our outstanding capital stock, have agreed as to the manner in which they will vote their shares of our capital stock on certain matters, including with respect to the election of directors. Upon the completion of this offering, the amended and restated shareholders’ agreement will terminate, and none of our stockholders will have any special rights regarding the election or designation of members of our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Right of First Refusal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certain of our equity compensation plans and certain agreements with our stockholders, including the amended and restated shareholders’ agreement dated March 5, 2025, we have a right to purchase shares of our capital stock that stockholders propose to sell to other parties. Our right of first refusal will terminate upon the completion of this offering.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Director and Officer Indemnification Agreements </w:t>
      </w:r>
    </w:p>
    <w:p>
      <w:pPr>
        <w:pStyle w:val="TextBody"/>
        <w:bidi w:val="0"/>
        <w:spacing w:lineRule="auto" w:line="288" w:before="0" w:after="180"/>
        <w:jc w:val="left"/>
        <w:rPr/>
      </w:pPr>
      <w:r>
        <w:rPr>
          <w:rFonts w:ascii="Times New Roman;serif" w:hAnsi="Times New Roman;serif"/>
          <w:b w:val="false"/>
          <w:color w:val="000000"/>
          <w:sz w:val="20"/>
        </w:rPr>
        <w:t>We have entered, and intend to continue to enter, into separate indemnification agreements with each of our directors and executive officers, in addition to the indemnification provided for in our amended and restated certificate of incorporation and amended and restated bylaws. The indemnification agreements and our amended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w:t>
      </w:r>
      <w:r>
        <w:rPr>
          <w:rFonts w:ascii="Times New Roman;serif" w:hAnsi="Times New Roman;serif"/>
          <w:b w:val="false"/>
          <w:i/>
          <w:color w:val="000000"/>
          <w:sz w:val="20"/>
        </w:rPr>
        <w:t>Limitations on Liability and Indemnification Matters</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 written related person transaction policy, to be effective upon the completion of this offering,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or, for so long as we qualify as a smaller reporting company, the lesser of $120,000 or one percent of the average of our total assets at year-end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will have occurred prior to the adoption of this policy.</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Reserved Share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our request, the underwriters have reserved for sale, at the initial public offering price, up to 5% of the shares offered by this prospectus for sale to some of our directors, officers, employees, distributors, dealers, business associates and related persons. See “Underwriting—Reserved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PRINCIPAL STOCKHOLDERS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beneficial ownership of our common stock as of April 27, 2026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each person, or group of affiliated persons, who is known by us to beneficially own more than 5% of our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each of the named executive officers;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each of our directors;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of our current executive officers and directors as a group.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is based on 23,218,012 shares of common stock outstanding as of April 27, 2026, assuming (i) the Preferred Stock Conversion, (ii) the Warrant Exercises, (iii) the Warrant Conversion, and (iv) the issuance of the 2026 Convertible Notes and the related Notes Conversion.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April 27, 2026 are considered outstanding, although these shares are not considered outstanding for purposes of computing the percentage ownership of any other person. The percentage ownership information under the column titled “Shares beneficially owned after this offering” assumes the foregoing and the issuance of 10,000,000 shares of common stock in this offering, and assumes no exercise of the underwriters’ option to purchase additional shares. The table below excludes any shares of our common stock that may be purchased in this offering pursuant to the reserved share program. See “Underwriting—Reserved Shares.”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the address of each beneficial owner listed in the table below is c/o Mobia Medical, Inc., 2802 Flintrock Trace, Suite 226, Austin, TX 78738. We believe, based on information provided to us, that each of the stockholders listed below has sole voting and investment power with respect to the shares beneficially owned by the stockholder unless noted otherwise, subject to community property laws where applicable. </w:t>
      </w:r>
    </w:p>
    <w:tbl>
      <w:tblPr>
        <w:tblW w:w="10205" w:type="dxa"/>
        <w:jc w:val="left"/>
        <w:tblInd w:w="0" w:type="dxa"/>
        <w:tblLayout w:type="fixed"/>
        <w:tblCellMar>
          <w:top w:w="28" w:type="dxa"/>
          <w:left w:w="28" w:type="dxa"/>
          <w:bottom w:w="28" w:type="dxa"/>
          <w:right w:w="28" w:type="dxa"/>
        </w:tblCellMar>
      </w:tblPr>
      <w:tblGrid>
        <w:gridCol w:w="1658"/>
        <w:gridCol w:w="1403"/>
        <w:gridCol w:w="1407"/>
        <w:gridCol w:w="109"/>
        <w:gridCol w:w="109"/>
        <w:gridCol w:w="109"/>
        <w:gridCol w:w="309"/>
        <w:gridCol w:w="309"/>
        <w:gridCol w:w="313"/>
        <w:gridCol w:w="187"/>
        <w:gridCol w:w="187"/>
        <w:gridCol w:w="187"/>
        <w:gridCol w:w="255"/>
        <w:gridCol w:w="256"/>
        <w:gridCol w:w="512"/>
        <w:gridCol w:w="109"/>
        <w:gridCol w:w="109"/>
        <w:gridCol w:w="109"/>
        <w:gridCol w:w="309"/>
        <w:gridCol w:w="309"/>
        <w:gridCol w:w="313"/>
        <w:gridCol w:w="184"/>
        <w:gridCol w:w="184"/>
        <w:gridCol w:w="184"/>
        <w:gridCol w:w="255"/>
        <w:gridCol w:w="256"/>
        <w:gridCol w:w="574"/>
      </w:tblGrid>
      <w:tr>
        <w:trPr/>
        <w:tc>
          <w:tcPr>
            <w:tcW w:w="165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after this offering</w:t>
            </w:r>
          </w:p>
        </w:tc>
      </w:tr>
      <w:tr>
        <w:trPr/>
        <w:tc>
          <w:tcPr>
            <w:tcW w:w="446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46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U.S. Venture Partners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3,626,826</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3,626,826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GPG Healthcare Opportunities Fund, LLC</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3,480,102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3,480,102</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Osage University Partners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2,877,566</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2,877,566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Lyda Hunt – Bunker Trust – Elizabeth H Curnes</w:t>
            </w:r>
            <w:r>
              <w:rPr>
                <w:rFonts w:ascii="Times New Roman;serif" w:hAnsi="Times New Roman;serif"/>
                <w:b w:val="false"/>
                <w:color w:val="000000"/>
                <w:sz w:val="13"/>
              </w:rPr>
              <w:t>(4)</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1,230,039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1,230,039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Synapse Investment, LP</w:t>
            </w:r>
            <w:r>
              <w:rPr>
                <w:rFonts w:ascii="Times New Roman;serif" w:hAnsi="Times New Roman;serif"/>
                <w:b w:val="false"/>
                <w:color w:val="000000"/>
                <w:sz w:val="13"/>
              </w:rPr>
              <w:t>(5)</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1,919,406</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1,919,406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Coöperatieve Gilde Healthcare VG VI U.A.</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1,421,894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1,421,894</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Longitude Venture Partners V, L.P.</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1,421,894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1,421,894</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Richard John Foust</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704,207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704,207</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Nelson Bunker Curnes</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1,427,043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1,427,043</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Douglas (Doug) Ellison</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188,151</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188,151</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Prashant Rawat</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59"/>
        <w:gridCol w:w="1347"/>
        <w:gridCol w:w="1352"/>
        <w:gridCol w:w="109"/>
        <w:gridCol w:w="109"/>
        <w:gridCol w:w="109"/>
        <w:gridCol w:w="341"/>
        <w:gridCol w:w="341"/>
        <w:gridCol w:w="354"/>
        <w:gridCol w:w="187"/>
        <w:gridCol w:w="187"/>
        <w:gridCol w:w="187"/>
        <w:gridCol w:w="255"/>
        <w:gridCol w:w="256"/>
        <w:gridCol w:w="512"/>
        <w:gridCol w:w="109"/>
        <w:gridCol w:w="109"/>
        <w:gridCol w:w="109"/>
        <w:gridCol w:w="341"/>
        <w:gridCol w:w="341"/>
        <w:gridCol w:w="354"/>
        <w:gridCol w:w="184"/>
        <w:gridCol w:w="184"/>
        <w:gridCol w:w="184"/>
        <w:gridCol w:w="255"/>
        <w:gridCol w:w="256"/>
        <w:gridCol w:w="574"/>
      </w:tblGrid>
      <w:tr>
        <w:trPr/>
        <w:tc>
          <w:tcPr>
            <w:tcW w:w="155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after this offering</w:t>
            </w:r>
          </w:p>
        </w:tc>
      </w:tr>
      <w:tr>
        <w:trPr/>
        <w:tc>
          <w:tcPr>
            <w:tcW w:w="425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Dana G. Mead, Jr.</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Maxwell Bikoff</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Thomas Jordan Curnes II</w:t>
            </w:r>
            <w:r>
              <w:rPr>
                <w:rFonts w:ascii="Times New Roman;serif" w:hAnsi="Times New Roman;serif"/>
                <w:b w:val="false"/>
                <w:color w:val="000000"/>
                <w:sz w:val="13"/>
              </w:rPr>
              <w:t>(13)</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843,268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843,268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Edward Hanlon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William (Bill) Harrington</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2,877,566</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2,877,566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Cynthia Lucchese</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48,752</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Casey Tansey</w:t>
            </w:r>
            <w:r>
              <w:rPr>
                <w:rFonts w:ascii="Times New Roman;serif" w:hAnsi="Times New Roman;serif"/>
                <w:b w:val="false"/>
                <w:color w:val="000000"/>
                <w:sz w:val="13"/>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3,793,492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3,793,492</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All executive officers and directors as a group (12 persons)</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10,013,116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10,013,116</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ownership of less than 1%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(1)Consists of (i) 1,309,155 shares of our common stock issuable upon the conversion of Series F redeemable convertible preferred stock held by U.S. Venture Partners Select Fund I, L.P. (“USVP SFI”) on its own behalf and as a nominee for U.S. Venture Partners Select Fund I-A, L.P. (“USVP SFI-A” and, together with USVP SFI, the “USVP Select Funds”), (ii) 314,090 shares of our common stock issuable upon the conversion of the 2026 Convertible Notes held by USVP SFI, (iii) 1,610,903 shares of our common stock issuable upon the conversion of Series E-2 redeemable convertible preferred stock held by U.S. Venture Partners XII, L.P. (“USVP XII”), (iv) 295,906 shares of our common stock issuable upon the conversion of Series F redeemable convertible preferred stock held by USVP XII, (v) 81,755 shares of our common stock issuable upon the conversion of Series E-2 redeemable convertible preferred stock held by U.S. Venture Partners XII-A, L.P. (“USVP XII-A” and, together with USVP XII, the “USVP XII Funds”), and (vi) 15,017 shares of our common stock issuable upon the conversion of Series F redeemable convertible preferred stock held by USVP XII-A. Presidio Management Group XII, L.L.C. (“PMG XII”) is the general partner of USVP XII and USVP XII-A and may be deemed to have sole voting and dispositive power with respect to the shares held by USVP XII and USVP XII-A. Steven M. Krausz, Richard W. Lewis, Jonathan D. Root, and Dafina Toncheva are managing members of PMG XII, and may be deemed to share voting and dispositive power with respect to the shares held by USVP XII and USVP XII-A. Presidio Management Group Select Fund I, L.L.C. (“PMG Select”) is the general partner of USVP SFI and USVP SFI-A and may be deemed to have sole voting and dispositive power with respect to the shares held by USVP SFI and USVP SFI-A. Richard W. Lewis, Jonathan D. Root, and Dafina Toncheva are the managing members of PMG Select, and may be deemed to share voting and dispositive power with respect to the shares held by USVP SFI and USVP SFI-A. In addition, Casey M. Tansey (a member of our board of directors) is the managing partner and a managing member of PMG XII and PMG Select, respectively, and may be deemed to share voting and dispositive power over the reported securities held by the USVP XII Funds and the USVP Select Funds. Each of the managing members of PMG XII and PMG Select disclaims beneficial ownership of such holdings, except to the extent of their pecuniary interest in the shares. The address for each of these entities is 1460 El Camino Real, Suite 100, Menlo Park, CA 94025.</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(2)Consists of (i) 11,139 shares of our common stock issuable upon the conversion of Series E-1 redeemable convertible preferred stock held by GPG BFH, LLC (“BFH”), (ii) 29,704 shares of our common stock issuable upon the conversion of Series E-1 redeemable convertible preferred stock held by GPG Charles &amp; Potomac, LLC (“C&amp;P”), (iii) 21,819 shares of our common stock issuable upon the conversion of Series F redeemable convertible preferred stock held by C&amp;P, (iv) 10,000 shares of our common stock issuable upon the conversion of the 2026 Convertible Notes held by C&amp;P, (v) 22,278 shares of our common stock issuable upon the conversion of Series E-1 redeemable convertible preferred stock held by GPG Dais, LLC (“Dais”), (vi) 10,909 shares of our common stock issuable upon the conversion of Series F redeemable convertible preferred stock held by Dais, (vii) 8,500 shares of our common stock issuable upon the conversion of the 2026 Convertible Notes held by Dais, (viii) 141,054 shares of our common stock issuable upon the conversion of Series E-2 redeemable convertible preferred stock held by GPG GR, LLC (“GR”), (ix) 96,540 shares of our common stock issuable upon the conversion of Series E-1 redeemable convertible preferred stock held by GPG Healthcare Opportunities Fund II, LLC (“HOF II”), (x) 112,843 shares of our common stock issuable upon the conversion of Series E-2 redeemable convertible preferred stock held by HOF II, (xi) 108,005 shares of our common stock issuable upon the conversion of Series F redeemable convertible preferred stock held by HOF II, (xii) 33,333 shares of our common stock issuable upon the conversion of the 2026 Convertible Notes held by HOF II, (xiii) 68,044 shares of our common stock issuable upon the conversion of Series D redeemable convertible preferred stock held by GPG Healthcare Opportunities Fund, LLC (“HOF”), (xiv) 200,202 shares of our common stock issuable upon the conversion of Series E-1 redeemable convertible preferred stock held by HOF, (xv) 18,374 shares of our common stock issuable upon the conversion of Series D redeemable convertible preferred stock held by GPG JCT, LLC (“JCT”), (xvi) 116,940 shares of our common stock issuable upon the conversion of Series E-1 redeemable convertible preferred stock held by JCT, (xvii) 56,421 shares of our common stock issuable upon the conversion of Series E-2 redeemable convertible preferred stock held by JCT, (xviii) 41,666 shares of our common stock issuable upon the conversion of the 2026 Convertible Notes held by JCT, (xix) 477,329 shares of our common stock issuable upon the conversion of Series E-2 redeemable convertible preferred stock held by GPG MTI 22, LLC (“MTI 22”), (xx) 45,711 shares of our common stock issuable upon the conversion of Series F redeemable convertible preferred stock held by MTI 22, (xxi) 32,750 shares of our common stock issuable upon the conversion of the 2026 Convertible Notes held by MTI 22, (xxii) 282,122 shares of our common stock issuable upon the conversion of Series F redeemable convertible preferred stock held by GPG MTI 25, LLC (“MTI 25”), (xxiii) 60,579 shares of our common stock issuable upon the conversion of Series D redeemable convertible preferred stock held by GPG MTI 3-17 Investment, LLC (“MTI 3-17”), (xxiv) 219 shares of our common stock issuable upon the net exercise of warrant to purchase our Series D redeemable convertible preferred stock held by MTI 3-17, (xxv) 24,506 shares of our common stock issuable upon the conversion of Series E-1 redeemable convertible preferred stock held by GPG PHL, LLC (“PHL”), (xxvi) 43,640 shares of our common stock issuable upon the conversion of Series D redeemable convertible preferred stock held by GPG RM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LLC (“RM”), (xxvii) 159 shares of our common stock issuable upon the net exercise of warrant to purchase our Series D redeemable convertible preferred stock held by RM, (xxviii) 22,568 shares of our common stock issuable upon the conversion of Series E-2 redeemable convertible preferred stock held by GPG SC, LLC (“SC”), (xxix) 16,364 shares of our common stock issuable upon the conversion of Series F redeemable convertible preferred stock held by SC, (xxx) 8,333 shares of our common stock issuable upon the conversion of the 2026 Convertible Notes held by SC, (xxxi) 25,991 shares of our common stock issuable upon the conversion of Series E-1 redeemable convertible preferred stock held by GPG WG, LLC (“WG”), (xxxii) 20,833 shares of our common stock issuable upon the conversion of the 2026 Convertible Notes held by WG, (xxxiii) 464,489 shares of our common stock issuable upon the conversion of the 2026 Convertible Notes held by GPG MTIF, LLC (“MTIF”), (xxxiv) 23,255 shares of our common stock issuable upon the conversion of Series B redeemable convertible preferred stock held by Micro TI Investment 2, LLC (“Micro TI 2”), (xxxv) 3,073 shares of our common stock issuable upon the net exercise of warrant to purchase our Series B redeemable convertible preferred stock held by Micro TI 2, (xxxvi) 26,988 shares of our common stock issuable upon the conversion of Series B redeemable convertible preferred stock held by Micro TI Investment, LLC (“Micro TI”), (xxxvii) 24,416 shares of our common stock issuable upon the conversion of the 2026 Convertible Notes held by Micro TI, (xxxviii) 311,112 shares of our common stock issuable upon the conversion of Series E-1 redeemable convertible preferred stock held by MTI 20 Investment, LLC (“MTI 20”), (xxxix) 71,202 shares of our common stock issuable upon the conversion of Series C redeemable convertible preferred stock held by MTI 2015 Investment, LLC (“MTI 2015”), (xl) 38,875 shares of our common stock issuable upon the conversion of Series E-1 redeemable convertible preferred stock held by HTX MCT1 0320 Investment, LLC (“HTX MCT1”), (xli) 83,579 shares of our common stock issuable upon the conversion of Series E-1 redeemable convertible preferred stock held by HTX MCT2 0221 Investment, LLC (“HTX MCT2”), (xlii) 138,233 shares of our common stock issuable upon the conversion of Series E-2 redeemable convertible preferred stock held by HTX MCT3 0322 Investment, LLC (“HTX MCT3”), and (xliii) 126,005 shares of our common stock issuable upon the conversion of Series F redeemable convertible preferred stock held by HTX MCT3. Green Park &amp; Golf Ventures II, LLC (“GPG Ventures II”) is the managing member of each of BFH, C&amp;P, Dais, GR, HOF, HOF II, JCT, MTI 22, MTI 25, MTI 3-17, MTIF, PHL, RM, SC, WG, Micro TI, Micro TI 2, MTI 20 and MTI 2015. Clay M. Heighten, MD, Carl D. Soderstrom and Gilbert G. Garcia II are managers of GPG Ventures II and share voting and dispositive power with respect to the shares held by each of BFH, C&amp;P, Dais, GR, HOF, HOF II, JCT, MTI 22, MTI 25, MTI 3-17, MTIF, PHL, RM, SC, WG, Micro TI, Micro TI 2, MTI 20 and MTI 2015, and as a result may be deemed to beneficially own such securities. Green Park &amp; Golf Ventures - Houston, LLC (“GPG Ventures Houston”) is the managing member of each of HTX MCT1, HTX MCT2 and HTX MCT3. Clay M. Heighten, MD, Carl D. Soderstrom and Gilbert G. Garcia II are managers of GPG Ventures Houston and share voting and dispositive power with respect to the shares held by each of HTX MCT1, HTX MCT2 and HTX MCT3, and as a result may be deemed to beneficially own such securities. The address for each of these entities is 5910 N. Central Expressway, Suite 1400, Dallas, TX 75206.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(i) 1,128,438 shares of our common stock issuable upon the conversion of Series E-2 redeemable convertible preferred stock held by Osage University Partners III, LP (“OUP III”), (ii) 327,288 shares of our common stock issuable upon the conversion of Series F redeemable convertible preferred stock held by OUP III, (iii) 284,324 shares of our common stock issuable upon the conversion of the 2026 Convertible Notes held by OUP III, (iv) 872,770 shares of our common stock issuable upon the conversion of Series F redeemable convertible preferred stock held by Osage University Partners IV, LP (“OUP IV”), and (v) 264,746 shares of our common stock issuable upon the conversion of the 2026 Convertible Notes held by OUP IV. Osage University GP III, LLC (“OUP GP III”) is the general partner of OUP III and Osage University GP IV, LLC (“OUP GP IV”) is the general partner of OUP IV. William Harrington (a member of our board of directors) is one of the managers (the “OUP Managers”) of both OUP GP III and OUP GP IV. OUP GP III and OUP GP IV and the OUP Managers may be deemed to share voting, investment and dispositive power over the shares held by OUP III and OUP IV and as a result may be deemed to have beneficial ownership over such securities. Each of OUP GP III and OUP GP IV and the OUP Managers disclaims beneficial ownership over the securities held by OUP III and OUP IV, except to the extent of their respective pecuniary interests therein. The address for each of these entities is 50 Monument Road, Suite 201, Bala Cynwyd, PA 19004.</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(4)Consists of (i) 902,751 shares of our common stock issuable upon the conversion of Series E-2 redeemable convertible preferred stock and (ii) 327,288 shares of our common stock issuable upon the conversion of Series F redeemable convertible preferred stock. Houston B. Hunt, Charles B. Middlekauf, Jr., and Ellen H. Flowers are trustees for Lyda Hunt – Bunker Trust – Elizabeth H Curnes. The address for Lyda Hunt – Bunker Trust – Elizabeth H Curnes is 3811 Turtle Creek #1825, Dallas, TX 75219.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(5)Consists of (i) 1,123,925 shares of our common stock issuable upon the conversion of Series E-2 redeemable convertible preferred stock, (ii) 545,481 shares of our common stock issuable upon the conversion of Series F redeemable convertible preferred stock, and (iii) 250,000 shares of our common stock issuable upon the conversion of the 2026 Convertible Notes. Synapse Investment Partners I, LP (“Partners I”) is the general partner of Synapse Investment, LP (“Synapse”). Synapse Investment Partners, LLC (“Partners”) is the sole general partner of Partners I. Simeon George, MD is the managing member of Partners. Partners I, Partners, and Simeon George share voting and dispositive power with respect to the securities directly held by Synapse. Each of Partners I, Partners, and Simeon George disclaims beneficial ownership of such securities except to the extent of their pecuniary interests therein. The address for Synapse is 929 Main Street, Suite 200, Redwood City, CA 94063.</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(6)Consists of (i) 1,090,962 shares of our common stock issuable upon the conversion of Series F redeemable convertible preferred stock and (ii) 330,932 shares of our common stock issuable upon the conversion of the 2026 Convertible Notes. Gilde Healthcare VI Management B.V. (“Gilde Healthcare Management”) is the managing director of Coöperatieve Gilde Healthcare VG VI U.A. (“Gilde”) and has sole voting and dispositive power with respect to the shares held by Gilde. Gilde Healthcare Management is owned by Gilde Healthcare Holding B.V. and managed by Edwin de Graaf and Pieter Van der Meer, who may be deemed to share voting and dispositive power with respect to the shares held of record by Gilde. Each of Mr. De Graaf, and Mr. Van der Meer disclaims beneficial ownership of such holdings, except to the extent of their pecuniary interest in the shares. The address of Gilde is Stadsplateau 36, 3521 AZ Utrecht, The Netherlands, c/o Gilde Healthcare Partners.</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(7)Consists of (i) 1,090,962 shares of our common stock issuable upon the conversion of Series F redeemable convertible preferred stock and (ii) 330,932 shares of our common stock issuable upon the conversion of the 2026 Convertible Notes. Longitude Capital Partners V, LLC (“LCPV”) is the general partner of Longitude Venture Partners V, L.P. (“LVPV”) and may be deemed to have voting, investment and dispositive power with respect to these securities. Patrick G. Enright and Juliet Tammenoms Bakker are the managing members of LCPV, and may each be deemed to share voting, investment and dispositive power with respect to these securities. Each of LCPV, Mr. Enright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Ms. Tammenoms Bakker disclaims beneficial ownership of such securities except to the extent of their respective pecuniary interests therein. The address for these individuals and entities is 2740 Sand Hill Road, 2nd Floor, Menlo Park, CA 94025.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(8)Consists of 704,207 shares of our common stock issuable pursuant to an option held directly and exercisable within 60 days of April 27,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(9)Consists of (i) 19,427 shares of our common stock, (ii) 54,932 shares of our common stock issuable upon the conversion of Series A redeemable convertible preferred stock, (iii) 28,710 shares of our common stock issuable upon the conversion of Series C redeemable convertible preferred stock, (iv) 110,058 shares of our common stock issuable upon the conversion of Series D redeemable convertible preferred stock, (v) 8,374 shares of our common stock issuable upon the conversion of Series E-1 redeemable convertible preferred stock, (vi) 81,821 shares of our common stock issuable upon the conversion of Series F redeemable convertible preferred stock, (vii) 132,768 shares of our common stock issuable pursuant to an option held directly and exercisable within 60 days of April 27, 2026, (viii) 316 shares of our common stock issuable upon the net exercise of warrant to purchase our Series D redeemable convertible preferred stock, (ix) 5,742 shares of our common stock issuable upon the conversion of Series C redeemable convertible preferred stock held by family trusts for the benefit of Mr. Curnes’ minor children (x) 145,067 shares of our common stock issuable upon the conversion of Series D redeemable convertible preferred stock held by Exceller Hunt Microtransponder 2017, LP (“Exceller”), (xi) 78,171 shares of our common stock issuable upon the conversion of Series E-1 redeemable convertible preferred stock held by Exceller, (xii) 171,179 shares of our common stock issuable upon the conversion of Series E-2 redeemable convertible preferred stock held by Exceller, (xiii) 82,068 shares of our common stock issuable upon the conversion of Series F redeemable convertible preferred stock held by Exceller, (xiv) 333,333 shares of our common stock issuable upon the conversion of the 2026 Convertible Notes held by Exceller, and (xv) 175,077 shares of our common stock issuable upon the conversion of the 2026 Convertible Notes held by Curnes Fund 2001. Nelson Bunker Curnes is the trustee of each of the family trusts for the benefit of Mr. Curnes’ minor children, the manager of Exceller and a partner of Curnes Fund 2001, and has voting and dispositive power with respect to the shares held by each of the family trusts for the benefit of Mr. Curnes’ minor children, Exceller and Curnes Fund 2001. As a result, Nelson Bunker Curnes may be deemed to beneficially own such securities.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(10)Consists of 188,151 shares of our common stock issuable pursuant to an option held directly and exercisable within 60 days of April 27,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(11)Consists of 239,659 shares of our common stock issuable pursuant to an option held directly and exercisable within 60 days of April 27,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(12)Consists of 66,055 shares of our common stock issuable pursuant to an option held directly and exercisable within 60 days of April 27,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(13)Consists of (i) 70,054 shares of our common stock, (ii) 75,222 shares of our common stock issuable upon the conversion of Series A redeemable convertible preferred stock, (iii) 62,589 shares of our common stock issuable upon the conversion of Series B redeemable convertible preferred stock, (iv) 34,165 shares of our common stock issuable upon the conversion of Series D redeemable convertible preferred stock, (v) 208,281 shares of our common stock issuable pursuant to an option held directly and exercisable within 60 days of April 27, 2026, (vi) 2,542 shares of our common stock issuable upon the net exercise of warrant to purchase our Series B redeemable convertible preferred stock, (vii) 157 shares of our common stock issuable upon the net exercise of warrant to purchase our Series D redeemable convertible preferred stock, (viii) 3,636 shares of our common stock held by Vivian Ventures LLC (“VV”), (ix) 54,933 shares of our common stock issuable upon the conversion of Series A redeemable convertible preferred stock held by VV, (x) 66,417 shares of our common stock issuable upon the conversion of Series D redeemable convertible preferred stock held by VV, (xi) 8,374 shares of our common stock issuable upon the conversion of Series E-1 redeemable convertible preferred stock held by VV, (xii) 81,821 shares of our common stock issuable upon the conversion of Series F redeemable convertible preferred stock held by VV, and (xiii) 175,077 shares of our common stock issuable upon the conversion of the 2026 Convertible Notes held by Curnes Fund 2001. Thomas Jordan Curnes II is a managing member of VV and a partner of Curnes Fund 2001, and has voting and dispositive power with respect to the shares held by each of VV and Curnes Fund 2001, and as a result may be deemed to beneficially own such securities.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(14)Consists of 48,752 shares of our common stock issuable pursuant to an option held directly and exercisable within 60 days of April 27,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(15)Consists of 166,666 shares of our common stock issuable upon the conversion of the 2026 Convertible 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(16)Consists of (i) 6,883,992 shares of our common stock beneficially owned by our current directors and executive officers assuming the Preferred Stock Conversion, (ii) 1,587,873 shares of our common stock issuable pursuant to stock options held by such directors and executive officers and exercisable within 60 days of April 27, 2026 , (iii) 3,015 shares of our common stock issuable upon the net exercise of warrant to purchase our Series D redeemable convertible preferred stock and (iv) 1,713,313 shares of our common stock issuable upon the conversion of the 2026 Convertible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completion of this offering and the filing of our amended and restated certificate of incorporation to be effective upon completion of this offering, our authorized capital stock will consist of 950,000,000 shares of common stock, par value $0.01 per share, and 50,000,000 shares of preferred stock, par value $0.01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completion of this offering, all of the outstanding shares of our redeemable convertible preferred stock will convert into an aggregate of 18,831,868 shares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23,085,391 shares of common stock outstanding as of December 31, 2025, which reflects (i) the Preferred Stock Conversion, (ii) the Notes Conversion and (iii) the Warrant Exercises, there will be 33,085,391 shares of common stock outstanding upon the completion of this offering. As of December 31, 2025, we had 136 stockholders of record.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then outstanding preferred stock, holders of our common stock are entitled to receive ratably any dividends that our board of directors may declare out of funds legally available.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Rights, Preferences and Privileges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completion of this offering, all of our currently outstanding shares of redeemable convertible preferred stock will convert into common stock, and we will not have any preferred shares outstanding.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completion of this offering, our certificate of incorporation will be amended and restated to delete all references to such shares of redeemable convertible preferred stock. Under the amended and restated certificate of incorporation, our board of directors will have the authority, without further action by the stockholders, to issue up to 50,000,000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Common Stock Options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4,046,266 shares of common stock were issuable upon the exercise of outstanding stock options, at a weighted-average exercise price of $3.51 per share. For additional information regarding terms of our equity incentive plans, see the section titled “Executive and Director Compensation—Equity Incentive Plans.”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Warrants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Series B Redeemable Convertible Preferred Stock Warrant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warrants to purchase an aggregate of up to 908,000 shares of our Series B redeemable convertible preferred stock were outstanding, with an exercise price of $3.73744 per share. Unless exercised earlier, the warrants will expire in December 2032 or February 2033. The warrants contain provisions for the adjustment of the exercise price and the number of shares issuable upon the exercise of the warrants in the event of certain stock dividends, stock splits, reorganizations, reclassifications and consolidations. The warrants have a net exercise provision under which the respective holder may, in lieu of payment of the exercise price in cash, surrender the warrants and receive a net amount of shares based on the fair market value of the shares at the time of exercise of the warrants after deduction of the aggregate exercise price. In connection with an initial public offering, the warrants will either be exercised or will expire immediately prior to the consummation of such initial public offering. Based upon the initial public offering price of $15.00 per share, we will issue 34,455 shares of our common stock assuming the net exercise of the warrants immediately prior to the completion of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Series D Redeemable Convertible Preferred Stock Warrant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warrants to purchase an aggregate of up to 258,000 shares of our Series D redeemable convertible preferred stock were outstanding, with an exercise price of $4.207 per share. Unless exercised earlier, the warrants will expire in April 2033, May 2033, or June 2033. The warrants contain provisions for the adjustment of the exercise price and the number of shares issuable upon the exercise of the warrants in the event of certain stock dividends, stock splits, reorganizations, reclassifications and consolidations. The warrants have a net exercise provision under which the respective holder may, in lieu of payment of the exercise price in cash, surrender the warrants and receive a net amount of shares based on the fair market value of the shares at the time of exercise of the warrants after deduction of the aggregate exercise price. In connection with an initial public offering, the warrants will either be exercised or will expire immediately prior to the consummation of such initial public offering. Based upon the initial public offering price of $15.00 per share, we will issue 1,714 shares of our common stock assuming the net exercise of the warrants immediately prior to the completion of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Redeemable Convertible Preferred Stock Warrant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warrants to purchase up to $262,500 of shares of our (i) shares of Series E-2 redeemable convertible preferred stock at an exercise price of $2.5443 per share or (ii) shares of Series F redeemable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at an exercise price of $2.6317 per share, were outstanding. Unless exercised earlier, the warrants will expire in December 2033. The warrant contains provisions for the adjustment of the exercise price and the number of shares issuable upon the exercise of the warrant in the event of certain stock dividends, stock splits, reorganizations, reclassifications and consolidations. The warrant has a net exercise provision under which the respective holder may, in lieu of payment of the exercise price in cash, surrender the warrant and receive a net amount of shares based on the fair market value of the shares at the time of exercise of the warrant after deduction of the aggregate exercise price. Immediately prior to the completion of this offering, the warrant will automatically convert into a warrant to purchase 29,622 shares of our common stock with an average exercise price of $8.8618 per share.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Convertible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January 30, 2026 through February 11, 2026, we issued the 2026 Convertible Notes to certain investors in an aggregate principal amount of $40.0 million. The Maturity Date for the 2026 Convertible Notes is January 30, 2028. The 2026 Convertible Notes bear no interest for the first six months following the date of issuance. Following such period, the 2026 Convertible Notes accrue interest at a rate of 7.0% per annum through the Maturity Date, which interest payments shall be paid in kind. Immediately prior to the closing of this offering, the 2026 Convertible Notes and any accrued interest will automatically convert into shares of our common stock at the applicable conversion price. The conversion price is the lower of (a) 80% of the initial public offering price per share in this offering and (b) the valuation of the Company immediately prior to the closing of this offering divided by the Fully Diluted Capitalization, provided, that in no event shall such conversion price be less than the quotient obtained by dividing $226.0 million by the Fully Diluted Capitalization or greater than the quotient obtained by dividing $750.0 million by the Fully Diluted Capitalization. Based on the initial public offering price of $15.00 per share, and without giving effect to accrued interest (if any), the 2026 Convertible Notes will automatically convert into an aggregate of 3,333,324 shares of our common stock immediately prior to the closing of this offering.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under our amended and restated investor rights agreement, the holders of up to 21,904,521 shares of common stock or their transferees, have the right to require us to register the offer and sale of their shares, or to include their shares in any registration statement we file, in each case as described below.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Demand 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the holders of up to 21,904,521 shares of our common stock will be entitled to certain demand registration rights. At any time beginning after 180 days following the effective date of the registration statement of which this prospectus forms a part, the holders of at least 40% of the shares having registration rights then outstanding can request that we file a registration statement to register the offer and sale of their shares.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or withdraw such registration, not more than twice in any twelve-month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Form S-3 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the holders of up to 21,904,521 shares of our common stock will be entitled to certain Form S-3 registration rights. When we are eligible to file a registration statement on Form S-3, the holders of the shares having these rights then outstanding can request that we register the offer and sale of their shares of our common stock on a registration statement on Form S-3. These stockholders may make an unlimited number of requests for registration on a registration statement on Form S-3.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or withdraw such registration, not more than twice in any twelve-month period.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Piggyback 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the holders of up to 21,904,521 shares of our common stock will be entitled to certain “piggyback” registration rights. If we propose to register the offer and sale of shares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relating to the offer and sale of debt securities or (3) a registration on any registration form that does not permit secondary sales, the holders of these shares are entitled to notice of the registration and have the right, subject to certain limitations, to include their shares in the registration.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Expenses of registration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pay all expenses relating to any demand registrations, Form S-3 registrations, and piggyback registrations, subject to specified exceptions.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Termination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registration rights terminate upon the earliest of (1) the date that is five years after the completion of this offering, (2) immediately prior to the completion of certain liquidation events and (3) as to a given holder of registration rights, the date after the completion of this offering when such holder of registration rights can sell all of such holder’s registrable securities during any ninety day period pursuant to Rule 144 promulgated under the Securities Act.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Provisions of Delaware Law and Our Amended and Restated Certificate of Incorporation and Amended and Restated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Undesignated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ability of our board of directors, without action by the stockholders, to issue up to 50,000,000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Meetings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a special meeting of stockholders may be called only by our chair of the board, chief executive officer or president (in the absence of a chief executive officer), or by a resolution adopted by a majority of our board of directors.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Requirements for Advance Notification of Stockholder Nominations and Proposals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Elimination of Stockholder Action by Written Consent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eliminates the right of stockholders to act by written consent without a meeting.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Staggered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is divided into three classes. The directors in each class will serve for a three-year term, one class being elected each year by our stockholders. For more information on the classified board, see the section titled “Management—Board Composition.”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Removal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Stockholders Not Entitled to Cumulative Voting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Section 203 of the Delaware General Corporation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Choice of Forum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or stockholders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or the Exchange Act, or to any claim for which the federal courts have exclusive jurisdiction. For instance, the provision would not apply to actions arising under federal securities laws, including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suits brought to enforce any liability or duty created by the Securities Act, Exchange Act, or the rules and regulations thereunder. Our amended and restated certificate of incorporation further provides that,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 of Charter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Limitations on Liability and Indemnification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no director or officer will be personally liable to us or our stockholders for monetary damages for breaches of certain fiduciary duties as a director or officer, except as required by applicable law. The Delaware General Corporation Law permits a corporation to provide in its certificate of incorporation that a director or officer of the corporation shall not be personally liable to the corporation or its stockholders for monetary damages for certain breaches of fiduciary duties as a director or officer, except for liability for: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breach of the director’s or officer’s duty of loyalty to our company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act or omission not in good faith or which involved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directors, for unlawful payments of dividends or unlawful stock repurchases, redemptions, or other distributions;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from which the director or officer derived an improper personal benefit;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officer in any action by or in the right of the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neither we nor our stockholders have the right, through stockholders’ derivative suits on our behalf, to recover monetary damages for breaches of fiduciary duties, including breaches resulting from grossly negligent behavior, except in the situations described above.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approved to be listed on the Nasdaq Global Select Market under the trading symbol “MOBI”.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completion of this offering, the transfer agent and registrar for our common stock will be Equiniti Trust Company, LLC. The transfer agent and registrar’s address is 6201 15th Avenue, Brooklyn, NY 11219.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SHARES ELIGIBLE FOR FUTURE SALE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this offering, there has been no public market for our common stock, and although we expect that our common stock will be approved for listing on the Nasdaq Global Select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this offering, based on our shares outstanding as of December 31, 2025 and after giving effect to the Preferred Stock Conversion, issuance of the 2026 Convertible Notes and related Notes Conversion, and Warrant Exercise, 33,085,391 shares of our common stock will be outstanding, or 34,585,391 shares of common stock if the underwriters exercise their option to purchase additional shares in full, assuming no exercise of outstanding options or warrants.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lock-up agreements and market stand-off provisions described below and the provisions of Rules 144 or 701 and assuming no exercise of the underwriters’ option to purchase additional shares, the shares of our common stock that will be deemed “restricted securities” will be available for sale in the public market following the completion of this offering as follows: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10,000,000 shares will be eligible for sale on the date of this prospectus;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additional 23,085,391 shares will be eligible for sale upon expiration of the lock-up agreements and market stand-off provisions described below, beginning 181 days after the date of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Lock-Up Agreements and Market Stand-Off Agreements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officers, directors, and the holders of substantially all of our capital stock, options, and warrants have entered into market stand-off agreements with us and have entered into or will enter into lock-up agreements with the underwriters, whereby they have agreed, for a period of 180 days after the date of this prospectus, subject to certain exceptions, not to offer, pledge, sell, contract to sell, sell any option or contract to purchase, purchase any option or contract to sell, grant any option, right, or warrant to purchase, lend, or otherwise dispose of or transfer any shares of common stock or any securities convertible into or exercisable or exchangeable for shares of common stock; exercise any right with respect to the registration of any of these securities; file, cause to be filed or cause to be confidentially submitted a registration statement related to these securities; or enter into any hedging, swap, loan or any other agreement or any transaction that transfers to another, in whole or in part, directly or indirectly, the economic consequence of ownership of the common stock. BofA Securities, Inc., J.P. Morgan Securities LLC and Goldman Sachs &amp; Co.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Upon the expiration of the lock-up period, substantially all of the shares subject to such lock-up restrictions will become eligible for sale, subject to the limitations discussed above. See the section titled “Underwriting” for additional information.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Rule 144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(subject to the lock-up agreement referred to above, if applicable). If such stockholder has beneficially owned the shares of our capital stock proposed to be sold for at least one year, then such person is entitled to sell such shares in reliance upon Rule 144 without complying with any of the conditions of Rule 144 (subject to the lock-up agreement referred to above, if applicable).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upon expiration of any applicable lock-up agreements and within any three month period beginning 90 days after the date of this prospectus a number of shares that does not exceed the greater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 of the number of shares of our capital stock then outstanding, which will equal 330,854 shares immediately after the completion of this offering, assuming no exercise by the underwriters of their option to purchase additional shares;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average weekly trading volume of our common stock during the four calendar weeks preceding the filing of a notice on Form 144 with respect to such sale.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capital stock made in reliance upon Rule 144 by a stockholder who is deemed to have been one of our affiliates at any time during the preceding 90 days are also subject to the current public information, manner of sale and notice conditions of Rule 144.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Rule 701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the holders of up to 21,904,521 shares of our common stock will, subject to the lock-up agreements referred to above,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Registration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and Director Compensation—Equity Incentive Plans” for a description of our equity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MATERIAL U.S. FEDERAL INCOME TAX CONSIDERATIONS FOR NON-U.S. HOLDERS OF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 expatriates and former citizens or long-term residents of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holding our common stock as part of a hedge, straddle, or other risk reduction strategy or as part of a conversion transaction or other integrated investment;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brokers, dealers, or traders in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controlled foreign corporations,” “foreign controlled foreign corporations,” “passive foreign investment companies,” and corporations that accumulate earnings to avoid U.S. federal income tax;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partnerships or other entities or arrangements treated as partnerships for U.S. federal income tax purposes (and investors therein);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tax-exempt organizations or governmental organizations;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deemed to sell our common stock under the constructive sale provisions of the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persons who hold or receive our common stock pursuant to the exercise of any employee stock option or otherwise as compensation;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tax-qualified retirement plans;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subject to special tax accounting rules as a result of any item of gross income with respect to the stock being taken into account in an applicable financial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Definition of a Non-U.S. 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a “Non-U.S. Holder” is any beneficial owner of our common stock that is neither a “U.S. person” nor an entity treated as a partnership for U.S. federal income tax purposes. For purposes of this discussion, a “U.S. person” is any person that, for U.S. federal income tax purposes, is or is treated as any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individual who is a citizen or resident of the United States;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estate, the income of which is subject to U.S. federal income tax regardless of its source;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Distributions </w:t>
      </w:r>
    </w:p>
    <w:p>
      <w:pPr>
        <w:pStyle w:val="TextBody"/>
        <w:bidi w:val="0"/>
        <w:spacing w:lineRule="auto" w:line="288" w:before="0" w:after="180"/>
        <w:jc w:val="left"/>
        <w:rPr/>
      </w:pPr>
      <w:r>
        <w:rPr>
          <w:rFonts w:ascii="Times New Roman;serif" w:hAnsi="Times New Roman;serif"/>
          <w:b w:val="false"/>
          <w:color w:val="000000"/>
          <w:sz w:val="20"/>
        </w:rPr>
        <w:t>As described in the section titled “</w:t>
      </w:r>
      <w:r>
        <w:rPr>
          <w:rFonts w:ascii="Times New Roman;serif" w:hAnsi="Times New Roman;serif"/>
          <w:b w:val="false"/>
          <w:color w:val="000000"/>
          <w:sz w:val="20"/>
          <w:u w:val="single"/>
        </w:rPr>
        <w:t>Dividend Policy</w:t>
      </w:r>
      <w:r>
        <w:rPr>
          <w:color w:val="000000"/>
        </w:rPr>
        <w:t xml:space="preserve">” </w:t>
      </w:r>
      <w:r>
        <w:rPr>
          <w:rFonts w:ascii="Times New Roman;serif" w:hAnsi="Times New Roman;serif"/>
          <w:b w:val="false"/>
          <w:color w:val="000000"/>
          <w:sz w:val="20"/>
        </w:rPr>
        <w:t>above, we do not anticipate paying any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such effectively connected dividends will be subject to U.S. federal income tax on a net income basis at the regular rates. A Non-U.S. Holder that is a corporation also may be subject to a branch profits tax at a rate of 30%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 or Other Taxable Disposition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Non-U.S. Holder will not be subject to U.S. federal income tax on any gain realized upon the sale or other taxable disposition of our common stock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common stock constitutes a U.S. real property interest (USRPI), by reason of our status as a U.S. real property holding corporation (USRPHC), for U.S. federal income tax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potentially applicable income tax treaties that may provide for different rules.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common stock conducted through a non-U.S. office of a non-U.S. broker generally will not be subject to backup withholding or information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Additional Withholding Tax on Payments Made to Foreign Accounts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Prospective investors should consult their tax advisors regarding the potential application of withholding under FATCA to their investment in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UNDERWRITING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BofA Securities, Inc., J.P. Morgan Securities LLC and Goldman Sachs &amp; Co.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tbl>
      <w:tblPr>
        <w:tblW w:w="4885"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540"/>
        <w:gridCol w:w="541"/>
        <w:gridCol w:w="343"/>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Underwriter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BofA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3,175,000 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 Morgan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3,175,000 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Goldman Sachs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BTIG,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Nomura Securities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261,250 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agreed to indemnify the underwriters against certain liabilities, including liabilities under the Securities Act, or to contribute to payments the underwriters may be required to make in respect of those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Commissions and Discounts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representatives have advised us that the underwriters propose initially to offer the shares to the public at the public offering price set forth on the cover page of this prospectus and to dealers at that price less a concession not in excess of $0.63 per share. After the initial offering, the public offering price, concession or any other term of the offering may be changed. Sales of any shares made outside of the United States may be made by affiliates of the underwriters.</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initial public offering price, underwriting discounts and commissions and proceeds before expenses to us. The information assumes either no exercise or full exercise by the underwriters of their option to purchase additional shares.</w:t>
      </w:r>
    </w:p>
    <w:tbl>
      <w:tblPr>
        <w:tblW w:w="8622" w:type="dxa"/>
        <w:jc w:val="left"/>
        <w:tblInd w:w="0" w:type="dxa"/>
        <w:tblLayout w:type="fixed"/>
        <w:tblCellMar>
          <w:top w:w="28" w:type="dxa"/>
          <w:left w:w="28" w:type="dxa"/>
          <w:bottom w:w="28" w:type="dxa"/>
          <w:right w:w="28" w:type="dxa"/>
        </w:tblCellMar>
      </w:tblPr>
      <w:tblGrid>
        <w:gridCol w:w="1254"/>
        <w:gridCol w:w="1103"/>
        <w:gridCol w:w="1108"/>
        <w:gridCol w:w="211"/>
        <w:gridCol w:w="616"/>
        <w:gridCol w:w="109"/>
        <w:gridCol w:w="109"/>
        <w:gridCol w:w="109"/>
        <w:gridCol w:w="109"/>
        <w:gridCol w:w="211"/>
        <w:gridCol w:w="1441"/>
        <w:gridCol w:w="109"/>
        <w:gridCol w:w="109"/>
        <w:gridCol w:w="109"/>
        <w:gridCol w:w="109"/>
        <w:gridCol w:w="211"/>
        <w:gridCol w:w="144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Without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 Option</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public offering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expenses of the offering, not including the underwriting discounts and commissions, are estimated at $5,000,000 and are payable by us. We have also agreed to reimburse the underwriters for expenses relating to clearance of this offering with the Financial Industry Regulatory Authority in an amount up to $50,000.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engaged WR Securities, LLC to provide certain financial advisory services in connection with the offering for a fee of $100,000.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Option to Purchase Additional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granted an option to the underwriters, exercisable for 30 days after the date of this prospectus, to purchase up to 1,500,000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Reserved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our request, an affiliate of BofA Securities, Inc., a participating underwriter has reserved for sale, at the initial public offering price, up to 5% of the shares offered by this prospectus for sale to some of our directors, officers, employees, distributors, dealers, business associates and related persons. The sales will be made at our discretion to parties identified by management through a reserved share program. Management will provide the list of potential participants to Merrill Lynch, Pierce, Fenner &amp; Smith Incorporated, which will administer the program. Pursuant to this program, once a preliminary prospectus has been filed, an invitation package will be made available or sent to each party identified by management, which will include the preliminary prospectus and other reserved share program documentation. An invitation to participate in the program does not guarantee that the participant will receive an allocation of shares. Accordingly, we cannot provide any assurance that any director, officer, employee, distributor, dealer, business associate, related person, or participant will receive an invitation or an allocation in the program. If a potential participant is interested in participating, that participant will be required to complete the required documentation and will be required to return such documentation to the program administrator. The program administrator will not accept funds from any participant until after the registration statement for this offering is declared effective, this offering is priced, and the participants are notified of their final allocation and given an opportunity to confirm that they wish to purchase the shares allocated to them. After the registration statement has been declared effective and this offering is priced, we and the program administrator will prepare a final approved list of allocations. The program administrator will notify each participant who has been allocated shares of the number of shares that have been allocated and the total purchase price due upon confirmation of their participation. Thereafter, participants will be required to wire or transfer their funds to the program administrator. The shares under the reserved share program will be allocated following pricing and settle in the same manner as the shares sold to the general public. Any shares purchased in the program by our directors or officers will be subject to the 180-day lock-up restrictions described below. If participants purchase reserved shares, this will reduce the number of shares available for sale to the general public. Any reserved shares that are not so purchased will be offered by the underwriters to the general public on the same terms as the other shares offered by this prospectus. We have agreed to reimburse the underwriters for certain fees and expenses in connection with this reserved share program, including the fees and disbursements of counsel to the underwriters, which we estimate to be approximately $25,000.</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 Sales of Similar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our executive officers and directors and our other existing security holders have agreed not to sell or transfer any common stock or securities convertible into or exercisable or exchangeable for common stock (collectively, the Lock-Up Securities) for 180 days after the date of this prospectus (the Lock-Up Period) without first obtaining the written consent of BofA Securities, Inc., J.P. Morgan Securities LLC and Goldman Sachs &amp; Co. LLC. Specifically, we and these other persons have agreed (and with respect to those other persons, to also cause any direct or indirect affiliates), with certain limited exceptions, not to directly or indirectly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offer, pledge, sell or contract to sell any Lock-Up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sell any option or contract to purchase any Lock-Up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purchase any option or contract to sell any Lock-Up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grant any option, right or warrant for the sale of any Lock-Up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lend or otherwise dispose of or transfer any Lock-Up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request or demand that we file or make a confidential submission of a registration statement related to the Lock-Up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enter into any swap or any other agreement or any transaction that transfers, in whole or in part, directly or indirectly, the economic consequence of ownership of Lock-Up Securities whether any such swap or transaction is to be settled by delivery of shares or other securities, in cash or otherwise,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publicly disclose the intention to do any of the foregoing.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lock-up provision applies to any Lock-Up Securities whether now owned or acquired later by the person executing the agreement or for which the person executing the agreement has or later acquires the power of disposition. BofA Securities, Inc., J.P. Morgan Securities LLC and Goldman Sachs &amp; Co. LLC, in their sole discretion, may release the Lock-Up Securities subject to the lock-up agreements described above in whole or in part at any time with or without notice.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approved to be listed on the Nasdaq Global Select Market under the symbol “MOBI”.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this offering, there was no public market for our common stock. The initial public offering price was determined through negotiations between us and the representatives. In addition to prevailing market conditions, the factors considered in determining the initial public offering price were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valuation multiples of publicly traded companies that the representatives believe to be comparable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financial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history of, and the prospects for, our company and the industry in which we compete,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assessment of our management, its past and present operations, and the prospects for, and timing of, our future revenues,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present state of our development,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above factors in relation to market values and various valuation measures of other companies engaged in activities similar to ours.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 active trading market for the shares may not develop. It is also possible that after the offering the shares will not trade in the public market at or above the initial public offering price.</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do not expect to sell more than 5% of the shares in the aggregate to accounts over which they exercise discretionary authority.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Price Stabilization, Short Positions and Penalty Bids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Electronic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certain of the underwriters or securities dealers may distribute prospectuses by electronic means, such as e-mail.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Relationships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the ordinary course of their business activities, the underwriters and their affiliates may make or hold a broad array of investments and actively trade debt and equity securities (or related derivative securities) and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the European Economic Area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the Prospectus Regulation;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the Prospectus Regulation), subject to obtaining the prior consent of the representatives of the underwriters for any such offer; or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 any other circumstances falling within Article 1(4) of the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provided that no such offer of shares shall require us or any underwriter to publish a prospectus pursuant to Article 3 of the Prospectus Regulation or supplement a prospectus pursuant to Article 23 of the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has been obtained to each such proposed offer or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the underwriters and their respective affiliates will rely upon the truth and accuracy of the foregoing representations, acknowledgements and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above selling restriction is in addition to any other selling restrictions set out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the United Kingdom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the United Kingdom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that offers of shares may be made to the public in the UK at any time under the following exemptions under the UK Prospectus Regulation and the FSMA:</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the UK Prospectus Regulation;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the UK Prospectus Regulation), subject to obtaining the prior consent of the representatives of the underwriters for any such offer; or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c.at any time in other circumstances falling within section 86 of the FSMA,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provided that no such offer of shares shall require the Company or any underwriter to publish a prospectus pursuant to Section 85 of the FSMA or Article 3 of the UK Prospectus Regulation or supplement a prospectus pursuant to Article 23 of the UK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of the underwriters has been obtained to each such proposed offer or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the underwriters, and their respective affiliates will rely upon the truth and accuracy of the foregoing representations, acknowledgements, and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as amended.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Switzerland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the Dubai International Financial Centre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Australia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Hong Kong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to “professional investors” as defined in the Securities and Futures Ordinance and any rules made under that Ordinance.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Japan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Singapore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Where the shares are subscribed or purchased under Section 275 of the SFA by a relevant person which is: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 trust (where the trustee is not an accredited investor) whose sole purpose is to hold investments and each beneficiary of the trust is an individual who is an accredited investor,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 an institutional investor or to a relevant person, or to any person arising from an offer referred to in Section 275(1A) or Section 276(4)(i)(B) of the SFA;</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b.where no consideration is or will be given for the transfer;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c.where the transfer is by operation of law; or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d.as specified in Section 276(7) of the SFA.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Canada</w:t>
      </w:r>
    </w:p>
    <w:p>
      <w:pPr>
        <w:pStyle w:val="TextBody"/>
        <w:bidi w:val="0"/>
        <w:spacing w:lineRule="auto" w:line="288" w:before="0" w:after="180"/>
        <w:jc w:val="left"/>
        <w:rPr/>
      </w:pPr>
      <w:r>
        <w:rPr>
          <w:rFonts w:ascii="Times New Roman;serif" w:hAnsi="Times New Roman;serif"/>
          <w:b w:val="false"/>
          <w:color w:val="000000"/>
          <w:sz w:val="20"/>
        </w:rPr>
        <w:t xml:space="preserve">The shares may be sold only to purchasers purchasing, or deemed to be purchasing, as principal that are accredited investors, as defined in National Instrument 45-106 </w:t>
      </w:r>
      <w:r>
        <w:rPr>
          <w:rFonts w:ascii="Times New Roman;serif" w:hAnsi="Times New Roman;serif"/>
          <w:b w:val="false"/>
          <w:i/>
          <w:color w:val="000000"/>
          <w:sz w:val="20"/>
        </w:rPr>
        <w:t>Prospectus Exemptions</w:t>
      </w:r>
      <w:r>
        <w:rPr>
          <w:color w:val="000000"/>
        </w:rPr>
        <w:t xml:space="preserve"> </w:t>
      </w:r>
      <w:r>
        <w:rPr>
          <w:rFonts w:ascii="Times New Roman;serif" w:hAnsi="Times New Roman;serif"/>
          <w:b w:val="false"/>
          <w:color w:val="000000"/>
          <w:sz w:val="20"/>
        </w:rPr>
        <w:t xml:space="preserve">or subsection 73.3(1) of the </w:t>
      </w:r>
      <w:r>
        <w:rPr>
          <w:rFonts w:ascii="Times New Roman;serif" w:hAnsi="Times New Roman;serif"/>
          <w:b w:val="false"/>
          <w:i/>
          <w:color w:val="000000"/>
          <w:sz w:val="20"/>
        </w:rPr>
        <w:t>Securities Act</w:t>
      </w:r>
      <w:r>
        <w:rPr>
          <w:color w:val="000000"/>
        </w:rPr>
        <w:t xml:space="preserve"> </w:t>
      </w:r>
      <w:r>
        <w:rPr>
          <w:rFonts w:ascii="Times New Roman;serif" w:hAnsi="Times New Roman;serif"/>
          <w:b w:val="false"/>
          <w:color w:val="000000"/>
          <w:sz w:val="20"/>
        </w:rPr>
        <w:t xml:space="preserve">(Ontario), and are permitted clients, as defined in National Instrument 31-103 </w:t>
      </w:r>
      <w:r>
        <w:rPr>
          <w:rFonts w:ascii="Times New Roman;serif" w:hAnsi="Times New Roman;serif"/>
          <w:b w:val="false"/>
          <w:i/>
          <w:color w:val="000000"/>
          <w:sz w:val="20"/>
        </w:rPr>
        <w:t>Registration Requirements, Exemptions, and Ongoing Registrant Obligations</w:t>
      </w:r>
      <w:r>
        <w:rPr>
          <w:rFonts w:ascii="Times New Roman;serif" w:hAnsi="Times New Roman;serif"/>
          <w:b w:val="false"/>
          <w:color w:val="000000"/>
          <w:sz w:val="20"/>
        </w:rPr>
        <w:t xml:space="preserve">. Any resale of the shares must be made in </w:t>
      </w: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accordance with an exemption from, or in a transaction not subject to, the prospectus requirements of applicable securities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lineRule="auto" w:line="288" w:before="0" w:after="180"/>
        <w:jc w:val="left"/>
        <w:rPr/>
      </w:pPr>
      <w:r>
        <w:rPr>
          <w:rFonts w:ascii="Times New Roman;serif" w:hAnsi="Times New Roman;serif"/>
          <w:b w:val="false"/>
          <w:color w:val="000000"/>
          <w:sz w:val="20"/>
        </w:rPr>
        <w:t xml:space="preserve">Pursuant to section 3A.3 (or, in the case of securities issued or guaranteed by the government of a non-Canadian jurisdiction, section 3A.4) of National Instrument 33-105 </w:t>
      </w:r>
      <w:r>
        <w:rPr>
          <w:rFonts w:ascii="Times New Roman;serif" w:hAnsi="Times New Roman;serif"/>
          <w:b w:val="false"/>
          <w:i/>
          <w:color w:val="000000"/>
          <w:sz w:val="20"/>
        </w:rPr>
        <w:t>Underwriting Conflicts</w:t>
      </w:r>
      <w:r>
        <w:rPr>
          <w:color w:val="000000"/>
        </w:rPr>
        <w:t xml:space="preserve"> </w:t>
      </w:r>
      <w:r>
        <w:rPr>
          <w:rFonts w:ascii="Times New Roman;serif" w:hAnsi="Times New Roman;serif"/>
          <w:b w:val="false"/>
          <w:color w:val="000000"/>
          <w:sz w:val="20"/>
        </w:rPr>
        <w:t>(NI 33-105), the underwriters are not required to comply with the disclosure requirements of NI 33-105 regarding underwriter conflicts of interest in connection with this offering.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 to Prospective Investors in Brazil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validity of the issuance of our common stock offered in this prospectus will be passed upon for us by Latham &amp; Watkins LLP. Cleary Gottlieb Steen &amp; Hamilton LLP, New York, New York is acting as counsel for the underwriters.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as of December 31, 2025 and 2024 and for the years then ended included in this prospectus have been so included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this offering, we will become subject to the information and reporting requirements of the Securities Exchange Act of 1934, as amended, and, in accordance with this law, will file periodic reports, proxy statements, and other information with the SEC. We also maintain a website at www.mobia.com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518"/>
        <w:gridCol w:w="3083"/>
        <w:gridCol w:w="3092"/>
        <w:gridCol w:w="149"/>
        <w:gridCol w:w="149"/>
        <w:gridCol w:w="214"/>
      </w:tblGrid>
      <w:tr>
        <w:trPr/>
        <w:tc>
          <w:tcPr>
            <w:tcW w:w="3518"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510">
              <w:r>
                <w:rPr>
                  <w:rStyle w:val="InternetLink"/>
                  <w:rFonts w:ascii="Times New Roman;serif" w:hAnsi="Times New Roman;serif"/>
                  <w:b w:val="false"/>
                  <w:color w:val="0000FF"/>
                  <w:sz w:val="20"/>
                  <w:u w:val="single"/>
                </w:rPr>
                <w:t>Report of Independent Registered Public Accounting Firm</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46a2e66dfc1442ddbd3162dbb5bf73c2_1510">
              <w:r>
                <w:rPr>
                  <w:rStyle w:val="InternetLink"/>
                  <w:rFonts w:ascii="Times New Roman;serif" w:hAnsi="Times New Roman;serif"/>
                  <w:b w:val="false"/>
                  <w:color w:val="0000FF"/>
                  <w:sz w:val="20"/>
                  <w:u w:val="single"/>
                </w:rPr>
                <w:t>F-2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Audited 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317">
              <w:r>
                <w:rPr>
                  <w:rStyle w:val="InternetLink"/>
                  <w:rFonts w:ascii="Times New Roman;serif" w:hAnsi="Times New Roman;serif"/>
                  <w:b w:val="false"/>
                  <w:color w:val="0000FF"/>
                  <w:sz w:val="20"/>
                  <w:u w:val="single"/>
                </w:rPr>
                <w:t>Balance Sheets as of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317">
              <w:r>
                <w:rPr>
                  <w:rStyle w:val="InternetLink"/>
                  <w:rFonts w:ascii="Times New Roman;serif" w:hAnsi="Times New Roman;serif"/>
                  <w:b w:val="false"/>
                  <w:color w:val="0000FF"/>
                  <w:sz w:val="20"/>
                  <w:u w:val="single"/>
                </w:rPr>
                <w:t>F-3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320">
              <w:r>
                <w:rPr>
                  <w:rStyle w:val="InternetLink"/>
                  <w:rFonts w:ascii="Times New Roman;serif" w:hAnsi="Times New Roman;serif"/>
                  <w:b w:val="false"/>
                  <w:color w:val="0000FF"/>
                  <w:sz w:val="20"/>
                  <w:u w:val="single"/>
                </w:rPr>
                <w:t>Statements of Operations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320">
              <w:r>
                <w:rPr>
                  <w:rStyle w:val="InternetLink"/>
                  <w:rFonts w:ascii="Times New Roman;serif" w:hAnsi="Times New Roman;serif"/>
                  <w:b w:val="false"/>
                  <w:color w:val="0000FF"/>
                  <w:sz w:val="20"/>
                  <w:u w:val="single"/>
                </w:rPr>
                <w:t>F-4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323">
              <w:r>
                <w:rPr>
                  <w:rStyle w:val="InternetLink"/>
                  <w:rFonts w:ascii="Times New Roman;serif" w:hAnsi="Times New Roman;serif"/>
                  <w:b w:val="false"/>
                  <w:color w:val="0000FF"/>
                  <w:sz w:val="20"/>
                  <w:u w:val="single"/>
                </w:rPr>
                <w:t>Statements of Redeemable Convertible Preferred Stock and Stockholders’ Deficit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323">
              <w:r>
                <w:rPr>
                  <w:rStyle w:val="InternetLink"/>
                  <w:rFonts w:ascii="Times New Roman;serif" w:hAnsi="Times New Roman;serif"/>
                  <w:b w:val="false"/>
                  <w:color w:val="0000FF"/>
                  <w:sz w:val="20"/>
                  <w:u w:val="single"/>
                </w:rPr>
                <w:t>F-5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326">
              <w:r>
                <w:rPr>
                  <w:rStyle w:val="InternetLink"/>
                  <w:rFonts w:ascii="Times New Roman;serif" w:hAnsi="Times New Roman;serif"/>
                  <w:b w:val="false"/>
                  <w:color w:val="0000FF"/>
                  <w:sz w:val="20"/>
                  <w:u w:val="single"/>
                </w:rPr>
                <w:t>Statements of Cash Flows for the Years Ended December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326">
              <w:r>
                <w:rPr>
                  <w:rStyle w:val="InternetLink"/>
                  <w:rFonts w:ascii="Times New Roman;serif" w:hAnsi="Times New Roman;serif"/>
                  <w:b w:val="false"/>
                  <w:color w:val="0000FF"/>
                  <w:sz w:val="20"/>
                  <w:u w:val="single"/>
                </w:rPr>
                <w:t>F-6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a2e66dfc1442ddbd3162dbb5bf73c2_1619">
              <w:r>
                <w:rPr>
                  <w:rStyle w:val="InternetLink"/>
                  <w:rFonts w:ascii="Times New Roman;serif" w:hAnsi="Times New Roman;serif"/>
                  <w:b w:val="false"/>
                  <w:color w:val="0000FF"/>
                  <w:sz w:val="20"/>
                  <w:u w:val="single"/>
                </w:rPr>
                <w:t>Notes to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e66dfc1442ddbd3162dbb5bf73c2_1619">
              <w:r>
                <w:rPr>
                  <w:rStyle w:val="InternetLink"/>
                  <w:rFonts w:ascii="Times New Roman;serif" w:hAnsi="Times New Roman;serif"/>
                  <w:b w:val="false"/>
                  <w:color w:val="0000FF"/>
                  <w:sz w:val="20"/>
                  <w:u w:val="single"/>
                </w:rPr>
                <w:t>F-7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46a2e66dfc1442ddbd3162dbb5bf73c2_500">
        <w:r>
          <w:rPr>
            <w:rStyle w:val="InternetLink"/>
          </w:rPr>
          <w:t>Ta</w:t>
        </w:r>
      </w:hyperlink>
      <w:hyperlink w:anchor="i46a2e66dfc1442ddbd3162dbb5bf73c2_500">
        <w:r>
          <w:rPr>
            <w:rStyle w:val="InternetLink"/>
          </w:rPr>
          <w:t>ble of Content</w:t>
        </w:r>
      </w:hyperlink>
      <w:hyperlink w:anchor="i46a2e66dfc1442ddbd3162dbb5bf73c2_500">
        <w:r>
          <w:rPr>
            <w:rStyle w:val="InternetLink"/>
          </w:rPr>
          <w:t>s</w:t>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3"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Mobia Medical,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balance sheets of Mobia Medical, Inc. (the “Company”) as of December 31, 2025 and 2024, and the related statements of operations,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Substantial Doubt about the Company’s Ability to Continue as a Going Concern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assuming that the Company will continue as a going concern. As discussed in Note 2 to the financial statements, the Company has incurred operating losses and negative cash flows from operations since its inception and an accumulated deficit as of December 31, 2025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March 11, 2026, except for the effects of the revision discussed in Note 3 to the financial statements, as to which the date is April 27, 2026, and except for the effects of the reverse stock split discussed in Note 3 to the financial statements, as to which the date is May 4,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4"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tbl>
      <w:tblPr>
        <w:tblW w:w="1859" w:type="dxa"/>
        <w:jc w:val="left"/>
        <w:tblInd w:w="0" w:type="dxa"/>
        <w:tblLayout w:type="fixed"/>
        <w:tblCellMar>
          <w:top w:w="28" w:type="dxa"/>
          <w:left w:w="28" w:type="dxa"/>
          <w:bottom w:w="28" w:type="dxa"/>
          <w:right w:w="28" w:type="dxa"/>
        </w:tblCellMar>
      </w:tblPr>
      <w:tblGrid>
        <w:gridCol w:w="594"/>
        <w:gridCol w:w="522"/>
        <w:gridCol w:w="743"/>
      </w:tblGrid>
      <w:tr>
        <w:trPr/>
        <w:tc>
          <w:tcPr>
            <w:tcW w:w="59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Mobia Medical,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Balance Sheets</w:t>
            </w:r>
          </w:p>
        </w:tc>
      </w:tr>
    </w:tbl>
    <w:tbl>
      <w:tblPr>
        <w:tblW w:w="10205" w:type="dxa"/>
        <w:jc w:val="left"/>
        <w:tblInd w:w="0" w:type="dxa"/>
        <w:tblLayout w:type="fixed"/>
        <w:tblCellMar>
          <w:top w:w="28" w:type="dxa"/>
          <w:left w:w="28" w:type="dxa"/>
          <w:bottom w:w="28" w:type="dxa"/>
          <w:right w:w="28" w:type="dxa"/>
        </w:tblCellMar>
      </w:tblPr>
      <w:tblGrid>
        <w:gridCol w:w="2812"/>
        <w:gridCol w:w="2145"/>
        <w:gridCol w:w="2042"/>
        <w:gridCol w:w="211"/>
        <w:gridCol w:w="1096"/>
        <w:gridCol w:w="109"/>
        <w:gridCol w:w="109"/>
        <w:gridCol w:w="109"/>
        <w:gridCol w:w="109"/>
        <w:gridCol w:w="211"/>
        <w:gridCol w:w="1096"/>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offering costs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assets</w:t>
            </w:r>
            <w:r>
              <w:rPr>
                <w:color w:val="000000"/>
              </w:rPr>
              <w:t xml:space="preserve"> </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46,357,242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21,174,741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Right-of-use-assets – operating leases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48,148,699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22,091,037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 warranty liability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payroll, commissions, and bonuses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offering costs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liabilities</w:t>
            </w:r>
            <w:r>
              <w:rPr>
                <w:color w:val="000000"/>
              </w:rPr>
              <w:t xml:space="preserve"> </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10,206,207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4,596,806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 net of discount and deferred financing costs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liability – long term</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w:t>
            </w:r>
            <w:r>
              <w:rPr>
                <w:color w:val="000000"/>
              </w:rPr>
              <w:t xml:space="preserve"> </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19,149,411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13,301,268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issuable in series, $0.01 par value; 67,174,403 and 42,475,557 shares authorized as of December 31, 2025 and December 31, 2024, respectively; 65,591,701 and 40,892,855 shares issued and outstanding as of December 31, 2025 and December 31, 2024, respectively; aggregate liquidation value of $182,255,492 and $117,255,538 as of December 31, 2025 and December 31, 2024, respectively</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114,825,572 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86,600,000 and 54,062,688 shares authorized as of December 31, 2025 and 2024, respectively; 884,030 and 776,701 outstanding shares as of December 31, 2025 and 2024, respectively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(157,789,133)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(111,290,945)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stockholders' deficit</w:t>
            </w:r>
            <w:r>
              <w:rPr>
                <w:color w:val="000000"/>
              </w:rPr>
              <w:t xml:space="preserve"> </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(150,773,587)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(106,035,803)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 redeemable convertible preferred stock, and stockholders’ deficit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48,148,699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22,091,037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49300"/>
                <wp:effectExtent l="0" t="0" r="0" b="0"/>
                <wp:wrapNone/>
                <wp:docPr id="215" name="Frame205"/>
                <a:graphic xmlns:a="http://schemas.openxmlformats.org/drawingml/2006/main">
                  <a:graphicData uri="http://schemas.microsoft.com/office/word/2010/wordprocessingShape">
                    <wps:wsp>
                      <wps:cNvSpPr txBox="1"/>
                      <wps:spPr>
                        <a:xfrm>
                          <a:off x="0" y="0"/>
                          <a:ext cx="6480175" cy="749300"/>
                        </a:xfrm>
                        <a:prstGeom prst="rect"/>
                        <a:solidFill>
                          <a:srgbClr val="FFFFFF"/>
                        </a:solidFill>
                      </wps:spPr>
                      <wps:txb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r>
                                    <w:br w:type="page"/>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pt;mso-wrap-distance-left:0pt;mso-wrap-distance-right:0pt;mso-wrap-distance-top:0pt;mso-wrap-distance-bottom:0pt;margin-top:0pt;mso-position-vertical:top;mso-position-vertical-relative:text;margin-left:0pt;mso-position-horizontal:left;mso-position-horizontal-relative:text">
                <v:textbo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tbl>
      <w:tblPr>
        <w:tblW w:w="2279" w:type="dxa"/>
        <w:jc w:val="left"/>
        <w:tblInd w:w="0" w:type="dxa"/>
        <w:tblLayout w:type="fixed"/>
        <w:tblCellMar>
          <w:top w:w="28" w:type="dxa"/>
          <w:left w:w="28" w:type="dxa"/>
          <w:bottom w:w="28" w:type="dxa"/>
          <w:right w:w="28" w:type="dxa"/>
        </w:tblCellMar>
      </w:tblPr>
      <w:tblGrid>
        <w:gridCol w:w="728"/>
        <w:gridCol w:w="640"/>
        <w:gridCol w:w="91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Mobia Medical,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Statements of Operations</w:t>
            </w:r>
          </w:p>
        </w:tc>
      </w:tr>
    </w:tbl>
    <w:tbl>
      <w:tblPr>
        <w:tblW w:w="10205" w:type="dxa"/>
        <w:jc w:val="left"/>
        <w:tblInd w:w="0" w:type="dxa"/>
        <w:tblLayout w:type="fixed"/>
        <w:tblCellMar>
          <w:top w:w="28" w:type="dxa"/>
          <w:left w:w="28" w:type="dxa"/>
          <w:bottom w:w="28" w:type="dxa"/>
          <w:right w:w="28" w:type="dxa"/>
        </w:tblCellMar>
      </w:tblPr>
      <w:tblGrid>
        <w:gridCol w:w="2603"/>
        <w:gridCol w:w="2142"/>
        <w:gridCol w:w="2155"/>
        <w:gridCol w:w="211"/>
        <w:gridCol w:w="1145"/>
        <w:gridCol w:w="109"/>
        <w:gridCol w:w="109"/>
        <w:gridCol w:w="109"/>
        <w:gridCol w:w="109"/>
        <w:gridCol w:w="211"/>
        <w:gridCol w:w="1145"/>
        <w:gridCol w:w="157"/>
      </w:tblGrid>
      <w:tr>
        <w:trPr/>
        <w:tc>
          <w:tcPr>
            <w:tcW w:w="260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15,644,398 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25,975,023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12,451,225</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65,827,675 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operating expenses</w:t>
            </w:r>
            <w:r>
              <w:rPr>
                <w:color w:val="000000"/>
              </w:rPr>
              <w:t xml:space="preserve"> </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72,342,924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36,687,515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Loss from operations</w:t>
            </w:r>
            <w:r>
              <w:rPr>
                <w:color w:val="000000"/>
              </w:rPr>
              <w:t xml:space="preserve"> </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(46,367,901)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(24,236,290)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expense, net</w:t>
            </w:r>
            <w:r>
              <w:rPr>
                <w:color w:val="000000"/>
              </w:rPr>
              <w:t xml:space="preserve"> </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(352,811)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Loss before provision for income tax</w:t>
            </w:r>
            <w:r>
              <w:rPr>
                <w:color w:val="000000"/>
              </w:rPr>
              <w:t xml:space="preserve"> </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(46,492,738)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(24,589,101)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loss attributable to common stockholders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(46,498,188)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(24,603,014)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Basic</w:t>
            </w:r>
            <w:r>
              <w:rPr>
                <w:color w:val="000000"/>
              </w:rPr>
              <w:t xml:space="preserv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Diluted</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(42.82)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w:t>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Basic</w:t>
            </w:r>
            <w:r>
              <w:rPr>
                <w:color w:val="000000"/>
              </w:rPr>
              <w:t xml:space="preserve"> </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574,632</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Diluted</w:t>
            </w:r>
            <w:r>
              <w:rPr>
                <w:color w:val="000000"/>
              </w:rPr>
              <w:t xml:space="preserve"> </w:t>
            </w:r>
          </w:p>
        </w:tc>
        <w:tc>
          <w:tcPr>
            <w:tcW w:w="13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848,812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574,632</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49300"/>
                <wp:effectExtent l="0" t="0" r="0" b="0"/>
                <wp:wrapNone/>
                <wp:docPr id="216" name="Frame206"/>
                <a:graphic xmlns:a="http://schemas.openxmlformats.org/drawingml/2006/main">
                  <a:graphicData uri="http://schemas.microsoft.com/office/word/2010/wordprocessingShape">
                    <wps:wsp>
                      <wps:cNvSpPr txBox="1"/>
                      <wps:spPr>
                        <a:xfrm>
                          <a:off x="0" y="0"/>
                          <a:ext cx="6480175" cy="749300"/>
                        </a:xfrm>
                        <a:prstGeom prst="rect"/>
                        <a:solidFill>
                          <a:srgbClr val="FFFFFF"/>
                        </a:solidFill>
                      </wps:spPr>
                      <wps:txb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r>
                                    <w:br w:type="page"/>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pt;mso-wrap-distance-left:0pt;mso-wrap-distance-right:0pt;mso-wrap-distance-top:0pt;mso-wrap-distance-bottom:0pt;margin-top:0pt;mso-position-vertical:top;mso-position-vertical-relative:text;margin-left:0pt;mso-position-horizontal:left;mso-position-horizontal-relative:text">
                <v:textbo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tbl>
      <w:tblPr>
        <w:tblW w:w="6959" w:type="dxa"/>
        <w:jc w:val="left"/>
        <w:tblInd w:w="0" w:type="dxa"/>
        <w:tblLayout w:type="fixed"/>
        <w:tblCellMar>
          <w:top w:w="28" w:type="dxa"/>
          <w:left w:w="28" w:type="dxa"/>
          <w:bottom w:w="28" w:type="dxa"/>
          <w:right w:w="28" w:type="dxa"/>
        </w:tblCellMar>
      </w:tblPr>
      <w:tblGrid>
        <w:gridCol w:w="2228"/>
        <w:gridCol w:w="1960"/>
        <w:gridCol w:w="2771"/>
      </w:tblGrid>
      <w:tr>
        <w:trPr/>
        <w:tc>
          <w:tcPr>
            <w:tcW w:w="2228"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Mobia Medical,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Statements of Redeemable Convertible Preferred Stock and Stockholders’ Deficit</w:t>
            </w:r>
          </w:p>
        </w:tc>
      </w:tr>
    </w:tbl>
    <w:tbl>
      <w:tblPr>
        <w:tblW w:w="12788" w:type="dxa"/>
        <w:jc w:val="left"/>
        <w:tblInd w:w="0" w:type="dxa"/>
        <w:tblLayout w:type="fixed"/>
        <w:tblCellMar>
          <w:top w:w="28" w:type="dxa"/>
          <w:left w:w="28" w:type="dxa"/>
          <w:bottom w:w="28" w:type="dxa"/>
          <w:right w:w="28" w:type="dxa"/>
        </w:tblCellMar>
      </w:tblPr>
      <w:tblGrid>
        <w:gridCol w:w="650"/>
        <w:gridCol w:w="215"/>
        <w:gridCol w:w="216"/>
        <w:gridCol w:w="548"/>
        <w:gridCol w:w="548"/>
        <w:gridCol w:w="348"/>
        <w:gridCol w:w="109"/>
        <w:gridCol w:w="109"/>
        <w:gridCol w:w="109"/>
        <w:gridCol w:w="211"/>
        <w:gridCol w:w="1201"/>
        <w:gridCol w:w="109"/>
        <w:gridCol w:w="109"/>
        <w:gridCol w:w="109"/>
        <w:gridCol w:w="109"/>
        <w:gridCol w:w="109"/>
        <w:gridCol w:w="109"/>
        <w:gridCol w:w="109"/>
        <w:gridCol w:w="420"/>
        <w:gridCol w:w="421"/>
        <w:gridCol w:w="263"/>
        <w:gridCol w:w="109"/>
        <w:gridCol w:w="109"/>
        <w:gridCol w:w="109"/>
        <w:gridCol w:w="211"/>
        <w:gridCol w:w="631"/>
        <w:gridCol w:w="109"/>
        <w:gridCol w:w="109"/>
        <w:gridCol w:w="109"/>
        <w:gridCol w:w="109"/>
        <w:gridCol w:w="211"/>
        <w:gridCol w:w="991"/>
        <w:gridCol w:w="109"/>
        <w:gridCol w:w="109"/>
        <w:gridCol w:w="109"/>
        <w:gridCol w:w="109"/>
        <w:gridCol w:w="211"/>
        <w:gridCol w:w="1201"/>
        <w:gridCol w:w="109"/>
        <w:gridCol w:w="109"/>
        <w:gridCol w:w="109"/>
        <w:gridCol w:w="109"/>
        <w:gridCol w:w="211"/>
        <w:gridCol w:w="1201"/>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January 1, 2024</w:t>
            </w:r>
            <w:r>
              <w:rPr>
                <w:color w:val="000000"/>
              </w:rPr>
              <w:t xml:space="preserve"> </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34,997,324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99,527,210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485,116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3,820,537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(86,687,931)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(82,862,543)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Series E-2 redeemable convertible preferred stock in connection with the settlement of tranche liability, net of issuance costs of $12,011</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Related party issuance of Series E-2 redeemable convertible preferred stock in connection with settlement of tranche liability, net of issuance costs of $1,347</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December 31, 2024</w:t>
            </w:r>
            <w:r>
              <w:rPr>
                <w:color w:val="000000"/>
              </w:rPr>
              <w:t xml:space="preserve"> </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40,892,855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114,825,572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776,701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(111,290,945)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(106,035,803)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Series F redeemable convertible preferred stock and settlement of tranche liability, net of issuance costs of $264,065 </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22,703,940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Related party issuance of Series F redeemable convertible preferred stock and settlement of tranche liability, net of issuance costs of $23,202</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December 31, 2025</w:t>
            </w:r>
            <w:r>
              <w:rPr>
                <w:color w:val="000000"/>
              </w:rPr>
              <w:t xml:space="preserve"> </w:t>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65,591,701</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179,772,875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884,030</w:t>
            </w:r>
            <w:r>
              <w:rPr>
                <w:color w:val="000000"/>
              </w:rPr>
              <w:t>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7,006,706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(157,789,133)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(150,773,587)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49300"/>
                <wp:effectExtent l="0" t="0" r="0" b="0"/>
                <wp:wrapNone/>
                <wp:docPr id="217" name="Frame207"/>
                <a:graphic xmlns:a="http://schemas.openxmlformats.org/drawingml/2006/main">
                  <a:graphicData uri="http://schemas.microsoft.com/office/word/2010/wordprocessingShape">
                    <wps:wsp>
                      <wps:cNvSpPr txBox="1"/>
                      <wps:spPr>
                        <a:xfrm>
                          <a:off x="0" y="0"/>
                          <a:ext cx="6480175" cy="749300"/>
                        </a:xfrm>
                        <a:prstGeom prst="rect"/>
                        <a:solidFill>
                          <a:srgbClr val="FFFFFF"/>
                        </a:solidFill>
                      </wps:spPr>
                      <wps:txb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r>
                                    <w:br w:type="page"/>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pt;mso-wrap-distance-left:0pt;mso-wrap-distance-right:0pt;mso-wrap-distance-top:0pt;mso-wrap-distance-bottom:0pt;margin-top:0pt;mso-position-vertical:top;mso-position-vertical-relative:text;margin-left:0pt;mso-position-horizontal:left;mso-position-horizontal-relative:text">
                <v:textbo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tbl>
      <w:tblPr>
        <w:tblW w:w="2294" w:type="dxa"/>
        <w:jc w:val="left"/>
        <w:tblInd w:w="0" w:type="dxa"/>
        <w:tblLayout w:type="fixed"/>
        <w:tblCellMar>
          <w:top w:w="28" w:type="dxa"/>
          <w:left w:w="28" w:type="dxa"/>
          <w:bottom w:w="28" w:type="dxa"/>
          <w:right w:w="28" w:type="dxa"/>
        </w:tblCellMar>
      </w:tblPr>
      <w:tblGrid>
        <w:gridCol w:w="734"/>
        <w:gridCol w:w="645"/>
        <w:gridCol w:w="915"/>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Mobia Medical,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Statements of Cash Flows</w:t>
            </w:r>
          </w:p>
        </w:tc>
      </w:tr>
    </w:tbl>
    <w:tbl>
      <w:tblPr>
        <w:tblW w:w="10205" w:type="dxa"/>
        <w:jc w:val="left"/>
        <w:tblInd w:w="0" w:type="dxa"/>
        <w:tblLayout w:type="fixed"/>
        <w:tblCellMar>
          <w:top w:w="28" w:type="dxa"/>
          <w:left w:w="28" w:type="dxa"/>
          <w:bottom w:w="28" w:type="dxa"/>
          <w:right w:w="28" w:type="dxa"/>
        </w:tblCellMar>
      </w:tblPr>
      <w:tblGrid>
        <w:gridCol w:w="2564"/>
        <w:gridCol w:w="2168"/>
        <w:gridCol w:w="2183"/>
        <w:gridCol w:w="211"/>
        <w:gridCol w:w="1137"/>
        <w:gridCol w:w="109"/>
        <w:gridCol w:w="109"/>
        <w:gridCol w:w="109"/>
        <w:gridCol w:w="109"/>
        <w:gridCol w:w="211"/>
        <w:gridCol w:w="1137"/>
        <w:gridCol w:w="158"/>
      </w:tblGrid>
      <w:tr>
        <w:trPr/>
        <w:tc>
          <w:tcPr>
            <w:tcW w:w="256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(24,603,014)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Fair value adjustment of redeemable convertible preferred stock tranche liability</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(24,315,301)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fixed assets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E-2 redeemable convertible preferred stock, net of issuance costs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the related party issuance of Series E-2 redeemable convertible preferred stock, net of issuance costs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Proceeds from issuance of Series F redeemable convertible preferred stock, net of issuance costs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the related party issuance of Series F redeemable convertible preferred stock, net of issuance costs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65,026,389 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15,658,269 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change in cash and cash equivalents</w:t>
            </w:r>
            <w:r>
              <w:rPr>
                <w:color w:val="000000"/>
              </w:rPr>
              <w:t xml:space="preserve"> </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(8,697,880)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and cash equivalents, beginning of year</w:t>
            </w:r>
            <w:r>
              <w:rPr>
                <w:color w:val="000000"/>
              </w:rPr>
              <w:t xml:space="preserve"> </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23,318,200 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and cash equivalents, end of year</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14,620,320 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flows information</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of redeemable convertible preferred stock tranche liability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311,800 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49300"/>
                <wp:effectExtent l="0" t="0" r="0" b="0"/>
                <wp:wrapNone/>
                <wp:docPr id="218" name="Frame208"/>
                <a:graphic xmlns:a="http://schemas.openxmlformats.org/drawingml/2006/main">
                  <a:graphicData uri="http://schemas.microsoft.com/office/word/2010/wordprocessingShape">
                    <wps:wsp>
                      <wps:cNvSpPr txBox="1"/>
                      <wps:spPr>
                        <a:xfrm>
                          <a:off x="0" y="0"/>
                          <a:ext cx="6480175" cy="749300"/>
                        </a:xfrm>
                        <a:prstGeom prst="rect"/>
                        <a:solidFill>
                          <a:srgbClr val="FFFFFF"/>
                        </a:solidFill>
                      </wps:spPr>
                      <wps:txb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r>
                                    <w:br w:type="page"/>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pt;mso-wrap-distance-left:0pt;mso-wrap-distance-right:0pt;mso-wrap-distance-top:0pt;mso-wrap-distance-bottom:0pt;margin-top:0pt;mso-position-vertical:top;mso-position-vertical-relative:text;margin-left:0pt;mso-position-horizontal:left;mso-position-horizontal-relative:text">
                <v:textbox>
                  <w:txbxContent>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Mobia Medical, Inc. (the “Company”) was incorporated in Delaware in March 2007. Effective February 23, 2026, the Company amended its articles of incorporation to change its name from MicroTransponder, Inc. to Mobia Medical, Inc. The change was solely a corporate name change and had no impact on the Company’s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develops, markets and sells devices for the treatment of medical conditions. The first device brought to market, the Vivistim Paired VNS System (Vivistim System), received U.S. Food and Drug Administration premarket approval in 2021 and is intended to be used by chronic ischemic stroke survivors with moderate to severe upper extremity impairments to reduce upper extremity motor deficits and improve motor function. The Vivistim System was first brought to market in 2022, with the first commercial implant in May 2022, and commenced full commercial launch in 2023.</w:t>
      </w:r>
    </w:p>
    <w:p>
      <w:pPr>
        <w:pStyle w:val="TextBody"/>
        <w:bidi w:val="0"/>
        <w:spacing w:lineRule="auto" w:line="288" w:before="0" w:after="180"/>
        <w:jc w:val="left"/>
        <w:rPr/>
      </w:pPr>
      <w:r>
        <w:rPr>
          <w:rFonts w:ascii="Times New Roman;serif" w:hAnsi="Times New Roman;serif"/>
          <w:b/>
          <w:color w:val="000000"/>
          <w:sz w:val="20"/>
        </w:rPr>
        <w:t xml:space="preserve">Risks and Uncertainties – </w:t>
      </w:r>
      <w:r>
        <w:rPr>
          <w:rFonts w:ascii="Times New Roman;serif" w:hAnsi="Times New Roman;serif"/>
          <w:b w:val="false"/>
          <w:color w:val="000000"/>
          <w:sz w:val="20"/>
        </w:rPr>
        <w:t>The Company’s activities are subject to significant risks and uncertainties, including, but not limited to, failure to manage growth effectively, reliance on the success of the Vivistim System, new technological innovations, dependence upon third-party payers to provide adequate coverage and reimbursement to our customers, the absence of a national coverage determination or local coverage determinations applicable to its device administrated by the Centers for Medicare and Medicaid Services (CMS), dependence on key personnel, dependence on key suppliers, protection of proprietary technology, product liability, and compliance with government regulations. The Company is also subject to risks relating to cybersecurity and the protection of confidential information and personal information, as well as risks relating to evolving regulatory requirements (including potential additional clinical evidence requirements) that could affect commercialization of existing or future products. These risks and uncertainties, as well as failure to secure additional funding, if needed, can adversely affect the Company’s future financial results, financial position, and cash flow.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economic conditions in the United States, including any economic disruptions, inflationary, or supply chain pressures, may adversely impact the Company’s future financial results. The Company uses contract manufacturers in Uruguay to supply key products. Political instability or the deterioration of trade relations, including implementation of new tariffs, could adversely impact the Company’s business.</w:t>
      </w:r>
    </w:p>
    <w:p>
      <w:pPr>
        <w:pStyle w:val="TextBody"/>
        <w:bidi w:val="0"/>
        <w:spacing w:lineRule="auto" w:line="288" w:before="0" w:after="180"/>
        <w:jc w:val="left"/>
        <w:rPr/>
      </w:pPr>
      <w:r>
        <w:rPr>
          <w:rFonts w:ascii="Times New Roman;serif" w:hAnsi="Times New Roman;serif"/>
          <w:b/>
          <w:color w:val="000000"/>
          <w:sz w:val="20"/>
        </w:rPr>
        <w:t>Concentration of credit risk</w:t>
      </w:r>
      <w:r>
        <w:rPr>
          <w:color w:val="000000"/>
        </w:rPr>
        <w:t xml:space="preserve"> – </w:t>
      </w:r>
      <w:r>
        <w:rPr>
          <w:rFonts w:ascii="Times New Roman;serif" w:hAnsi="Times New Roman;serif"/>
          <w:b w:val="false"/>
          <w:color w:val="000000"/>
          <w:sz w:val="20"/>
        </w:rPr>
        <w:t>The Company maintains its cash deposits with high credit quality financial institutions. At times, such deposits may be in excess of the Federal Deposit Insurance Corporation insured limits; however, management does not believe it is exposed to any significant credit risk. All such accounts are monitored by management to mitigate risk and cash equivalents are invested in highly rated money market funds.</w:t>
      </w:r>
    </w:p>
    <w:p>
      <w:pPr>
        <w:pStyle w:val="TextBody"/>
        <w:bidi w:val="0"/>
        <w:spacing w:lineRule="auto" w:line="288" w:before="0" w:after="180"/>
        <w:jc w:val="left"/>
        <w:rPr/>
      </w:pPr>
      <w:r>
        <w:rPr>
          <w:rFonts w:ascii="Times New Roman;serif" w:hAnsi="Times New Roman;serif"/>
          <w:b/>
          <w:color w:val="000000"/>
          <w:sz w:val="20"/>
        </w:rPr>
        <w:t>Supplier concentration risk</w:t>
      </w:r>
      <w:r>
        <w:rPr>
          <w:color w:val="000000"/>
        </w:rPr>
        <w:t xml:space="preserve"> – </w:t>
      </w:r>
      <w:r>
        <w:rPr>
          <w:rFonts w:ascii="Times New Roman;serif" w:hAnsi="Times New Roman;serif"/>
          <w:b w:val="false"/>
          <w:color w:val="000000"/>
          <w:sz w:val="20"/>
        </w:rPr>
        <w:t xml:space="preserve">The Company depends on a small number of third-party contract manufacturers and suppliers, some of which are single source, to produce and package all elements comprising our Vivistim System as well as certain implantation tools, and if these suppliers and manufacturers fail to supply the Vivistim System or its components or subcomponents in sufficient quantities or at all, it will have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Liquidity and Going Concern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were prepared on a going concern basis. The going concern basis assumes that the Company will continue in operation for the foreseeable future and will be able to realize its assets and discharge its liabilities and commitments in the normal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operating losses and negative cash flows from operations since its inception. For the year ended December 31, 2025, the Company had a net loss of $46,498,188 and had an accumulated deficit of $157,789,133 as of December 31, 2025. Additionally, the Company has generated negative cash flows from operations for the year ended December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the Company has financed its activities principally from the issuance of preferred stock, debt financing arrangements and revenue from sales of the Vivistim System. The Vivistim System was first brought to market in 2022, with the first commercial implant in May 2022, and commenced full commercial launch in 2023.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9"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its operating losses and negative operating cash flows will continue into the foreseeable future. There can be no assurance that the Company’s products will generate sufficient revenue for the Company to achieve profitable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its current operating plan, which was updated in January 2026, the Company plans significant increases in marketing expenditures to facilitate further awareness and adoption of the Vivistim System, spending on research and development, including regulatory affairs and clinical studies, and costs related to scaling the Company’s commercial operations and infrastructure. In addition, general and administrative expenses are expected to increase following the Company’s planned initial public offering (IPO) due to the additional costs associated with being a public company. As a result, the Company’s existing cash and cash equivalents are not expected to be sufficient for the Company to continue as a going concern for at least one year from the date these financial statements are issued. These conditions raise substantial doubt upon the Company’s ability to continue as a going concern. As a result, the Company will be required to raise additional capital.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seeking to complete an IPO of its common stock. In the event the Company does not complete an IPO, the Company would expect to obtain additional funding through the issuance of additional redeemable convertible preferred stock or debt; however, such funding is not guaranteed.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future revenue is not sufficient or if sufficient funds on acceptable terms are not available when needed, the Company may be required to curtail planned activities to significantly reduce its operating expenses. Failure to manage discretionary spending or raise additional financing, as needed, may have a material adverse effect on the Company’s future viability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Summary of Significant Accounting and Reporting Policies and Basis of Presentation</w:t>
      </w:r>
    </w:p>
    <w:p>
      <w:pPr>
        <w:pStyle w:val="TextBody"/>
        <w:bidi w:val="0"/>
        <w:spacing w:lineRule="auto" w:line="288" w:before="0" w:after="180"/>
        <w:jc w:val="left"/>
        <w:rPr/>
      </w:pPr>
      <w:r>
        <w:rPr>
          <w:rFonts w:ascii="Times New Roman;serif" w:hAnsi="Times New Roman;serif"/>
          <w:b/>
          <w:color w:val="000000"/>
          <w:sz w:val="20"/>
        </w:rPr>
        <w:t xml:space="preserve">Basis of presentation – </w:t>
      </w:r>
      <w:r>
        <w:rPr>
          <w:rFonts w:ascii="Times New Roman;serif" w:hAnsi="Times New Roman;serif"/>
          <w:b w:val="false"/>
          <w:color w:val="000000"/>
          <w:sz w:val="20"/>
        </w:rPr>
        <w:t>The accompanying financial statements have been prepared in accordance with accounting principles generally accepted in the United States of America (U.S. GAAP).</w:t>
      </w:r>
    </w:p>
    <w:p>
      <w:pPr>
        <w:pStyle w:val="TextBody"/>
        <w:bidi w:val="0"/>
        <w:spacing w:lineRule="auto" w:line="288" w:before="0" w:after="180"/>
        <w:jc w:val="left"/>
        <w:rPr/>
      </w:pPr>
      <w:r>
        <w:rPr>
          <w:rFonts w:ascii="Times New Roman;serif" w:hAnsi="Times New Roman;serif"/>
          <w:b/>
          <w:color w:val="000000"/>
          <w:sz w:val="20"/>
        </w:rPr>
        <w:t xml:space="preserve">Reverse Stock Split – </w:t>
      </w:r>
      <w:r>
        <w:rPr>
          <w:rFonts w:ascii="Times New Roman;serif" w:hAnsi="Times New Roman;serif"/>
          <w:b w:val="false"/>
          <w:color w:val="000000"/>
          <w:sz w:val="20"/>
        </w:rPr>
        <w:t>On May 1, 2026 the Company effected a 1-for-3.483 reverse stock split of its issued and outstanding common stock. All references to common stock issued and outstanding, stock options, loss per share and per share amounts presented in the accompanying financial statements and notes thereto have been retroactively adjusted for all periods presented to reflect the reverse stock split. The per share par value, authorized numbers of shares of the Company’s common stock and redeemable convertible preferred stock, issued and outstanding number of shares of redeemable convertible preferred stock, and redeemable convertible preferred stock warrants were not adjusted as a result of the reverse stock split. Instead, the conversion ratio was updated whereby each share of each series of Preferred Stock was convertible into shares of common stock on a 1:3.483 basis.</w:t>
      </w:r>
    </w:p>
    <w:p>
      <w:pPr>
        <w:pStyle w:val="TextBody"/>
        <w:bidi w:val="0"/>
        <w:spacing w:lineRule="auto" w:line="288" w:before="0" w:after="180"/>
        <w:jc w:val="left"/>
        <w:rPr/>
      </w:pPr>
      <w:r>
        <w:rPr>
          <w:rFonts w:ascii="Times New Roman;serif" w:hAnsi="Times New Roman;serif"/>
          <w:b/>
          <w:color w:val="000000"/>
          <w:sz w:val="20"/>
        </w:rPr>
        <w:t>Revision of previously issued financial statements</w:t>
      </w:r>
      <w:r>
        <w:rPr>
          <w:color w:val="000000"/>
        </w:rPr>
        <w:t xml:space="preserve"> </w:t>
      </w:r>
      <w:r>
        <w:rPr>
          <w:rFonts w:ascii="Times New Roman;serif" w:hAnsi="Times New Roman;serif"/>
          <w:b/>
          <w:color w:val="000000"/>
          <w:sz w:val="20"/>
        </w:rPr>
        <w:t xml:space="preserve">and recast to reflect the reverse stock split – </w:t>
      </w:r>
      <w:r>
        <w:rPr>
          <w:rFonts w:ascii="Times New Roman;serif" w:hAnsi="Times New Roman;serif"/>
          <w:b w:val="false"/>
          <w:color w:val="000000"/>
          <w:sz w:val="20"/>
        </w:rPr>
        <w:t>Subsequent to the issuance of the Company’s financial statements as of December 31, 2025 and 2024 and for the years then ended included in its Registration Statement on Form S-1, the Company’s management identified an error in the calculation of weighted-average shares used to compute basic and diluted net loss per share attributable to common stockholders for the year ended December 31, 2025. Specifically, the Company concluded that the weighted-average share amount as previously reported was incorrectly calculated resulting in basic and diluted net loss per share attributable to common stockholders being overstated for the year ended December 31, 2025.</w:t>
      </w:r>
    </w:p>
    <w:p>
      <w:pPr>
        <w:pStyle w:val="TextBody"/>
        <w:bidi w:val="0"/>
        <w:spacing w:lineRule="auto" w:line="288" w:before="0" w:after="180"/>
        <w:jc w:val="left"/>
        <w:rPr/>
      </w:pPr>
      <w:r>
        <w:rPr>
          <w:rFonts w:ascii="Times New Roman;serif" w:hAnsi="Times New Roman;serif"/>
          <w:b w:val="false"/>
          <w:color w:val="000000"/>
          <w:sz w:val="20"/>
        </w:rPr>
        <w:t xml:space="preserve">The Company evaluated the error in accordance with Staff Accounting Bulletin (“SAB”) No. 99, </w:t>
      </w:r>
      <w:r>
        <w:rPr>
          <w:rFonts w:ascii="Times New Roman;serif" w:hAnsi="Times New Roman;serif"/>
          <w:b w:val="false"/>
          <w:i/>
          <w:color w:val="000000"/>
          <w:sz w:val="20"/>
        </w:rPr>
        <w:t>Materiality</w:t>
      </w:r>
      <w:r>
        <w:rPr>
          <w:rFonts w:ascii="Times New Roman;serif" w:hAnsi="Times New Roman;serif"/>
          <w:b w:val="false"/>
          <w:color w:val="000000"/>
          <w:sz w:val="20"/>
        </w:rPr>
        <w:t xml:space="preserve">, and SAB No. 108, </w:t>
      </w:r>
      <w:r>
        <w:rPr>
          <w:rFonts w:ascii="Times New Roman;serif" w:hAnsi="Times New Roman;serif"/>
          <w:b w:val="false"/>
          <w:i/>
          <w:color w:val="000000"/>
          <w:sz w:val="20"/>
        </w:rPr>
        <w:t>Considering the Effects of Prior Year Misstatements when Quantifying Misstatements in Current Year Financial Statements,</w:t>
      </w:r>
      <w:r>
        <w:rPr>
          <w:color w:val="000000"/>
        </w:rPr>
        <w:t xml:space="preserve"> </w:t>
      </w:r>
      <w:r>
        <w:rPr>
          <w:rFonts w:ascii="Times New Roman;serif" w:hAnsi="Times New Roman;serif"/>
          <w:b w:val="false"/>
          <w:color w:val="000000"/>
          <w:sz w:val="20"/>
        </w:rPr>
        <w:t xml:space="preserve">and concluded that the error was not material to the previously issued financial statements. However, the Company has determined to correct the error by revising its financial statements as of and for the year ended December 31, 2025 in this amended Registration Statement on Form S-1.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error had no impact on the balance sheet, the statement of redeemable convertible preferred stock and stockholders’ deficit, or the statement of cash flows.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0"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impact of the correction for the year ended December 31, 2025, and has been further adjusted to reflect the reverse stock split: </w:t>
      </w:r>
    </w:p>
    <w:tbl>
      <w:tblPr>
        <w:tblW w:w="10205" w:type="dxa"/>
        <w:jc w:val="left"/>
        <w:tblInd w:w="0" w:type="dxa"/>
        <w:tblLayout w:type="fixed"/>
        <w:tblCellMar>
          <w:top w:w="28" w:type="dxa"/>
          <w:left w:w="28" w:type="dxa"/>
          <w:bottom w:w="28" w:type="dxa"/>
          <w:right w:w="28" w:type="dxa"/>
        </w:tblCellMar>
      </w:tblPr>
      <w:tblGrid>
        <w:gridCol w:w="1418"/>
        <w:gridCol w:w="969"/>
        <w:gridCol w:w="972"/>
        <w:gridCol w:w="428"/>
        <w:gridCol w:w="1052"/>
        <w:gridCol w:w="172"/>
        <w:gridCol w:w="109"/>
        <w:gridCol w:w="109"/>
        <w:gridCol w:w="109"/>
        <w:gridCol w:w="387"/>
        <w:gridCol w:w="964"/>
        <w:gridCol w:w="201"/>
        <w:gridCol w:w="109"/>
        <w:gridCol w:w="109"/>
        <w:gridCol w:w="109"/>
        <w:gridCol w:w="421"/>
        <w:gridCol w:w="1028"/>
        <w:gridCol w:w="168"/>
        <w:gridCol w:w="109"/>
        <w:gridCol w:w="109"/>
        <w:gridCol w:w="109"/>
        <w:gridCol w:w="215"/>
        <w:gridCol w:w="664"/>
        <w:gridCol w:w="165"/>
      </w:tblGrid>
      <w:tr>
        <w:trPr/>
        <w:tc>
          <w:tcPr>
            <w:tcW w:w="14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reported (prior to reverse stock split)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 (prior to reverse stock split)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revised (prior to reverse stock split)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recasted </w:t>
            </w:r>
            <w:r>
              <w:rPr>
                <w:rFonts w:ascii="Times New Roman;serif" w:hAnsi="Times New Roman;serif"/>
                <w:b/>
                <w:color w:val="000000"/>
                <w:sz w:val="10"/>
              </w:rPr>
              <w:t>(1)</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w:t>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 and diluted</w:t>
            </w:r>
            <w:r>
              <w:rPr>
                <w:color w:val="000000"/>
              </w:rPr>
              <w:t xml:space="preserve"> </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w:t>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 and diluted</w:t>
            </w:r>
            <w:r>
              <w:rPr>
                <w:color w:val="000000"/>
              </w:rPr>
              <w:t xml:space="preserve"> </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2,252,494 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have been recasted to reflect the 1:3.483 reverse stock split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Note 14 - Net Loss Per Share has been updated to reflect the revised amounts for the correction and the effects of the reverse stock split.</w:t>
      </w:r>
    </w:p>
    <w:p>
      <w:pPr>
        <w:pStyle w:val="TextBody"/>
        <w:bidi w:val="0"/>
        <w:spacing w:lineRule="auto" w:line="288" w:before="0" w:after="180"/>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and assumptions include, but are not limited to, stock compensation, valuation of common and preferred stock, valuation of warrant liability, product warranty liability, and redeemable convertible preferred stock tranche liability. Actual results could differ from those estimates.    </w:t>
      </w:r>
    </w:p>
    <w:p>
      <w:pPr>
        <w:pStyle w:val="TextBody"/>
        <w:bidi w:val="0"/>
        <w:spacing w:lineRule="auto" w:line="288" w:before="0" w:after="180"/>
        <w:jc w:val="left"/>
        <w:rPr/>
      </w:pPr>
      <w:r>
        <w:rPr>
          <w:rFonts w:ascii="Times New Roman;serif" w:hAnsi="Times New Roman;serif"/>
          <w:b/>
          <w:color w:val="000000"/>
          <w:sz w:val="20"/>
        </w:rPr>
        <w:t xml:space="preserve">Emerging Growth Company Status - </w:t>
      </w:r>
      <w:r>
        <w:rPr>
          <w:rFonts w:ascii="Times New Roman;serif" w:hAnsi="Times New Roman;serif"/>
          <w:b w:val="false"/>
          <w:color w:val="000000"/>
          <w:sz w:val="20"/>
        </w:rPr>
        <w:t>The Company is an emerging growth company (“EGC”), as defined in the Jumpstart Our Business Startups Act (the “JOBS Act”), enacted in 2012. Under the JOBS Act, EGCs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lineRule="auto" w:line="288" w:before="0" w:after="180"/>
        <w:jc w:val="left"/>
        <w:rPr/>
      </w:pPr>
      <w:r>
        <w:rPr>
          <w:rFonts w:ascii="Times New Roman;serif" w:hAnsi="Times New Roman;serif"/>
          <w:b/>
          <w:color w:val="000000"/>
          <w:sz w:val="20"/>
        </w:rPr>
        <w:t>Segment reporting</w:t>
      </w:r>
      <w:r>
        <w:rPr>
          <w:color w:val="000000"/>
        </w:rPr>
        <w:t xml:space="preserve"> – </w:t>
      </w:r>
      <w:r>
        <w:rPr>
          <w:rFonts w:ascii="Times New Roman;serif" w:hAnsi="Times New Roman;serif"/>
          <w:b w:val="false"/>
          <w:color w:val="000000"/>
          <w:sz w:val="20"/>
        </w:rPr>
        <w:t>The Company operates and manages its business as a single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financial information on a company-wide basis for purposes of allocating resources and assessing financial performance and does not regularly review expenses or financial results on a more granular level. For the year ended December 31, 2025, the Company updated the presentation of certain significant segment expenses as a result of changes in the financial information regularly provided to and reviewed by the CODM. For additional segment reporting information, refer to Note 16.</w:t>
      </w:r>
    </w:p>
    <w:p>
      <w:pPr>
        <w:pStyle w:val="TextBody"/>
        <w:bidi w:val="0"/>
        <w:spacing w:lineRule="auto" w:line="288" w:before="0" w:after="180"/>
        <w:jc w:val="left"/>
        <w:rPr/>
      </w:pPr>
      <w:r>
        <w:rPr>
          <w:rFonts w:ascii="Times New Roman;serif" w:hAnsi="Times New Roman;serif"/>
          <w:b/>
          <w:color w:val="000000"/>
          <w:sz w:val="20"/>
        </w:rPr>
        <w:t>Cash and cash equivalents</w:t>
      </w:r>
      <w:r>
        <w:rPr>
          <w:color w:val="000000"/>
        </w:rPr>
        <w:t xml:space="preserve"> – </w:t>
      </w:r>
      <w:r>
        <w:rPr>
          <w:rFonts w:ascii="Times New Roman;serif" w:hAnsi="Times New Roman;serif"/>
          <w:b w:val="false"/>
          <w:color w:val="000000"/>
          <w:sz w:val="20"/>
        </w:rPr>
        <w:t>The Company considers all highly liquid debt instruments purchased with an original maturity of three months or less to be cash equivalents.</w:t>
      </w:r>
    </w:p>
    <w:p>
      <w:pPr>
        <w:pStyle w:val="TextBody"/>
        <w:bidi w:val="0"/>
        <w:spacing w:lineRule="auto" w:line="288" w:before="0" w:after="180"/>
        <w:jc w:val="left"/>
        <w:rPr/>
      </w:pPr>
      <w:r>
        <w:rPr>
          <w:rFonts w:ascii="Times New Roman;serif" w:hAnsi="Times New Roman;serif"/>
          <w:b/>
          <w:color w:val="000000"/>
          <w:sz w:val="20"/>
        </w:rPr>
        <w:t>Research and development</w:t>
      </w:r>
      <w:r>
        <w:rPr>
          <w:color w:val="000000"/>
        </w:rPr>
        <w:t xml:space="preserve"> – </w:t>
      </w:r>
      <w:r>
        <w:rPr>
          <w:rFonts w:ascii="Times New Roman;serif" w:hAnsi="Times New Roman;serif"/>
          <w:b w:val="false"/>
          <w:color w:val="000000"/>
          <w:sz w:val="20"/>
        </w:rPr>
        <w:t>Research and development costs are expensed when incurred and are included in operating expenses.</w:t>
      </w:r>
    </w:p>
    <w:p>
      <w:pPr>
        <w:pStyle w:val="TextBody"/>
        <w:bidi w:val="0"/>
        <w:spacing w:lineRule="auto" w:line="288" w:before="0" w:after="180"/>
        <w:jc w:val="left"/>
        <w:rPr/>
      </w:pPr>
      <w:r>
        <w:rPr>
          <w:rFonts w:ascii="Times New Roman;serif" w:hAnsi="Times New Roman;serif"/>
          <w:b/>
          <w:color w:val="000000"/>
          <w:sz w:val="20"/>
        </w:rPr>
        <w:t>Accounts receivable</w:t>
      </w:r>
      <w:r>
        <w:rPr>
          <w:color w:val="000000"/>
        </w:rPr>
        <w:t xml:space="preserve"> </w:t>
      </w:r>
      <w:r>
        <w:rPr>
          <w:rFonts w:ascii="Times New Roman;serif" w:hAnsi="Times New Roman;serif"/>
          <w:b/>
          <w:color w:val="000000"/>
          <w:sz w:val="20"/>
        </w:rPr>
        <w:t xml:space="preserve">and allowance for credit losses </w:t>
      </w:r>
      <w:r>
        <w:rPr>
          <w:color w:val="000000"/>
        </w:rPr>
        <w:t xml:space="preserve">– </w:t>
      </w:r>
      <w:r>
        <w:rPr>
          <w:rFonts w:ascii="Times New Roman;serif" w:hAnsi="Times New Roman;serif"/>
          <w:b w:val="false"/>
          <w:color w:val="000000"/>
          <w:sz w:val="20"/>
        </w:rPr>
        <w:t xml:space="preserve">The Company records accounts receivables at the invoiced amount and accounts for credit losses in accordance with ASC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xml:space="preserve">. The Company maintains an allowance for credit losses for any receivables the Company may be unable to collect. The Company estimates expected credit losses on an individual basis, as appropriate, based on the receivables’ age, customers’ expected ability to pay and collection history, current economic conditions, and reasonable and supportable forecasts, among other factors that may affect customers’ ability to pay. The Company uses its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1"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judgment, based on the best available facts and circumstances, and records an allowance against amounts due to reduce the receivable to the amount that is expected to be collected. The Company began selling its products in 2022 and has not experienced material bad debt write-offs since inception, and as of December 31, 2025 and 2024, a significant majority of outstanding receivables were current. Based on its evaluation of historical loss experience, aging of receivables, customer creditworthiness, current economic conditions, and whether reasonably foreseeable future conditions could affect collectability as required under ASC 326, the Company determined that no allowance for expected credit losses was required for the periods presented. Accordingly, no allowance for credit losses was recorded as of December 31, 2025 and 2024. </w:t>
      </w:r>
    </w:p>
    <w:p>
      <w:pPr>
        <w:pStyle w:val="TextBody"/>
        <w:bidi w:val="0"/>
        <w:spacing w:lineRule="auto" w:line="288" w:before="0" w:after="180"/>
        <w:jc w:val="left"/>
        <w:rPr/>
      </w:pPr>
      <w:r>
        <w:rPr>
          <w:rFonts w:ascii="Times New Roman;serif" w:hAnsi="Times New Roman;serif"/>
          <w:b/>
          <w:color w:val="000000"/>
          <w:sz w:val="20"/>
        </w:rPr>
        <w:t>Inventory</w:t>
      </w:r>
      <w:r>
        <w:rPr>
          <w:color w:val="000000"/>
        </w:rPr>
        <w:t xml:space="preserve"> – </w:t>
      </w:r>
      <w:r>
        <w:rPr>
          <w:rFonts w:ascii="Times New Roman;serif" w:hAnsi="Times New Roman;serif"/>
          <w:b w:val="false"/>
          <w:color w:val="000000"/>
          <w:sz w:val="20"/>
        </w:rPr>
        <w:t>Inventory costs are comprised primarily of finished goods and raw materials and include the acquisition costs of raw materials and components, in addition to direct labor and overhead. All inventory is stated at the lower of cost or net realizable value and is accounted for on a first in, first out (FIFO) basis. The balance of finished goods and raw materials as of December 31, 2025 and 2024 are as follows:</w:t>
      </w:r>
    </w:p>
    <w:tbl>
      <w:tblPr>
        <w:tblW w:w="4359" w:type="dxa"/>
        <w:jc w:val="left"/>
        <w:tblInd w:w="0" w:type="dxa"/>
        <w:tblLayout w:type="fixed"/>
        <w:tblCellMar>
          <w:top w:w="28" w:type="dxa"/>
          <w:left w:w="28" w:type="dxa"/>
          <w:bottom w:w="28" w:type="dxa"/>
          <w:right w:w="28" w:type="dxa"/>
        </w:tblCellMar>
      </w:tblPr>
      <w:tblGrid>
        <w:gridCol w:w="505"/>
        <w:gridCol w:w="443"/>
        <w:gridCol w:w="447"/>
        <w:gridCol w:w="211"/>
        <w:gridCol w:w="976"/>
        <w:gridCol w:w="109"/>
        <w:gridCol w:w="109"/>
        <w:gridCol w:w="109"/>
        <w:gridCol w:w="109"/>
        <w:gridCol w:w="211"/>
        <w:gridCol w:w="97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performs an assessment of the recoverability of inventory during each reporting period, and, if applicable, writes down any excess and obsolete inventories to their estimated net realizable value in the period in which the impairment is first identified. The determination of whether inventory costs will be realizable requires estimates by management. If actual market conditions are less favorable than projected by management, additional write-downs of inventory may be required. There were no expenses recorded for excess inventory or other impairments during the years ending December 31, 2025 and 2024. </w:t>
      </w:r>
    </w:p>
    <w:p>
      <w:pPr>
        <w:pStyle w:val="TextBody"/>
        <w:bidi w:val="0"/>
        <w:spacing w:lineRule="auto" w:line="288" w:before="0" w:after="180"/>
        <w:jc w:val="left"/>
        <w:rPr/>
      </w:pPr>
      <w:r>
        <w:rPr>
          <w:rFonts w:ascii="Times New Roman;serif" w:hAnsi="Times New Roman;serif"/>
          <w:b/>
          <w:color w:val="000000"/>
          <w:sz w:val="20"/>
        </w:rPr>
        <w:t>Deferred Offering Costs</w:t>
      </w:r>
      <w:r>
        <w:rPr>
          <w:color w:val="000000"/>
        </w:rPr>
        <w:t xml:space="preserve"> </w:t>
      </w:r>
      <w:r>
        <w:rPr>
          <w:rFonts w:ascii="Times New Roman;serif" w:hAnsi="Times New Roman;serif"/>
          <w:b w:val="false"/>
          <w:color w:val="000000"/>
          <w:sz w:val="20"/>
        </w:rPr>
        <w:t xml:space="preserve">- Deferred offering costs include certain legal, accounting, consulting and other fees incurred directly related to Company’s planned IPO. The Company defers offering costs until the effective date of the IPO, upon which, these costs will be recorded as a reduction of the offering proceeds included within additional paid-in capital. Should the IPO no longer be considered probable of being consummated, all deferred offering costs will be charged to operating expenses in the statement of operations at such time. </w:t>
      </w:r>
    </w:p>
    <w:p>
      <w:pPr>
        <w:pStyle w:val="TextBody"/>
        <w:bidi w:val="0"/>
        <w:spacing w:lineRule="auto" w:line="288" w:before="0" w:after="180"/>
        <w:jc w:val="left"/>
        <w:rPr/>
      </w:pPr>
      <w:r>
        <w:rPr>
          <w:rFonts w:ascii="Times New Roman;serif" w:hAnsi="Times New Roman;serif"/>
          <w:b/>
          <w:color w:val="000000"/>
          <w:sz w:val="20"/>
        </w:rPr>
        <w:t>Property and equipment, net</w:t>
      </w:r>
      <w:r>
        <w:rPr>
          <w:color w:val="000000"/>
        </w:rPr>
        <w:t xml:space="preserve"> – </w:t>
      </w:r>
      <w:r>
        <w:rPr>
          <w:rFonts w:ascii="Times New Roman;serif" w:hAnsi="Times New Roman;serif"/>
          <w:b w:val="false"/>
          <w:color w:val="000000"/>
          <w:sz w:val="20"/>
        </w:rPr>
        <w:t>Property and equipment are recorded at cost and depreciated using the straight-line method over the estimated useful lives of the respective assets, and leasehold improvements are amortized on a straight-line basis over the shorter of the term of the lease or the estimated useful life of the asset as follows:</w:t>
      </w:r>
    </w:p>
    <w:tbl>
      <w:tblPr>
        <w:tblW w:w="3463" w:type="dxa"/>
        <w:jc w:val="left"/>
        <w:tblInd w:w="0" w:type="dxa"/>
        <w:tblLayout w:type="fixed"/>
        <w:tblCellMar>
          <w:top w:w="28" w:type="dxa"/>
          <w:left w:w="28" w:type="dxa"/>
          <w:bottom w:w="28" w:type="dxa"/>
          <w:right w:w="28" w:type="dxa"/>
        </w:tblCellMar>
      </w:tblPr>
      <w:tblGrid>
        <w:gridCol w:w="819"/>
        <w:gridCol w:w="720"/>
        <w:gridCol w:w="725"/>
        <w:gridCol w:w="351"/>
        <w:gridCol w:w="351"/>
        <w:gridCol w:w="497"/>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Life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0" w:after="180"/>
        <w:jc w:val="left"/>
        <w:rPr/>
      </w:pPr>
      <w:r>
        <w:rPr>
          <w:rFonts w:ascii="Times New Roman;serif" w:hAnsi="Times New Roman;serif"/>
          <w:b/>
          <w:color w:val="000000"/>
          <w:sz w:val="20"/>
        </w:rPr>
        <w:t>Income taxes</w:t>
      </w:r>
      <w:r>
        <w:rPr>
          <w:color w:val="000000"/>
        </w:rPr>
        <w:t xml:space="preserve"> – </w:t>
      </w:r>
      <w:r>
        <w:rPr>
          <w:rFonts w:ascii="Times New Roman;serif" w:hAnsi="Times New Roman;serif"/>
          <w:b w:val="false"/>
          <w:color w:val="000000"/>
          <w:sz w:val="20"/>
        </w:rPr>
        <w:t xml:space="preserve">Income taxes are provided for the tax effects of transactions reported in the financial statements and consist of taxes currently due plus deferred taxes related primarily to differences between the basis of assets and liabilities for financial and income tax reporting. Deferred tax assets and liabilities represent future tax return consequences of those differences, which will either be taxable or deductible when the assets and liabilities are recovered or settled. Deferred taxes are also recognized for operating losses that are available to offset future taxable income. Management assesses the available positive and negative evidence to estimate whether sufficient future taxable income will be generated to permit use of the existing deferred tax assets. On the basis of this evaluation, as of December 31, 2025 and 2024, valuation allowances were recorded such that no net deferred tax assets were recognized.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2"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Tax benefits associated with uncertain tax positions are recognized in the period in which one of the following conditions are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derecognized in the period in which the more likely than not recognition threshold is no longer satisfied. Any potential interest and penalty associated with a tax contingency, should one arise, would be included as a component of income tax expense in the period in which the assessment arises. </w:t>
      </w:r>
    </w:p>
    <w:p>
      <w:pPr>
        <w:pStyle w:val="TextBody"/>
        <w:bidi w:val="0"/>
        <w:spacing w:lineRule="auto" w:line="288" w:before="0" w:after="180"/>
        <w:jc w:val="left"/>
        <w:rPr/>
      </w:pPr>
      <w:r>
        <w:rPr>
          <w:rFonts w:ascii="Times New Roman;serif" w:hAnsi="Times New Roman;serif"/>
          <w:b/>
          <w:color w:val="000000"/>
          <w:sz w:val="20"/>
        </w:rPr>
        <w:t>Long-lived assets</w:t>
      </w:r>
      <w:r>
        <w:rPr>
          <w:color w:val="000000"/>
        </w:rPr>
        <w:t xml:space="preserve"> – </w:t>
      </w:r>
      <w:r>
        <w:rPr>
          <w:rFonts w:ascii="Times New Roman;serif" w:hAnsi="Times New Roman;serif"/>
          <w:b w:val="false"/>
          <w:color w:val="000000"/>
          <w:sz w:val="20"/>
        </w:rPr>
        <w:t xml:space="preserve">The Company assesses the recoverability of long-lived assets using an assessment of the estimated undiscounted future cash flows related to such assets. In the event that assets are found to be carried at amounts which are in excess of estimated gross future cash flows, the assets will be adjusted for impairment to a level commensurate with a discounted cash flow analysis of the underlying assets. No impairments of long-lived assets have been recognized to date. </w:t>
      </w:r>
    </w:p>
    <w:p>
      <w:pPr>
        <w:pStyle w:val="TextBody"/>
        <w:bidi w:val="0"/>
        <w:spacing w:lineRule="auto" w:line="288" w:before="0" w:after="180"/>
        <w:jc w:val="left"/>
        <w:rPr/>
      </w:pPr>
      <w:r>
        <w:rPr>
          <w:rFonts w:ascii="Times New Roman;serif" w:hAnsi="Times New Roman;serif"/>
          <w:b/>
          <w:color w:val="000000"/>
          <w:sz w:val="20"/>
        </w:rPr>
        <w:t>Intangible assets</w:t>
      </w:r>
      <w:r>
        <w:rPr>
          <w:color w:val="000000"/>
        </w:rPr>
        <w:t xml:space="preserve"> – </w:t>
      </w:r>
      <w:r>
        <w:rPr>
          <w:rFonts w:ascii="Times New Roman;serif" w:hAnsi="Times New Roman;serif"/>
          <w:b w:val="false"/>
          <w:color w:val="000000"/>
          <w:sz w:val="20"/>
        </w:rPr>
        <w:t xml:space="preserve">Intangible assets are stated at cost and consist primarily of intellectual property rights granting exclusive rights to use patented technology, which are amortized using the straight-line method over 16 to 20 years. Intangible assets are immaterial. </w:t>
      </w:r>
    </w:p>
    <w:p>
      <w:pPr>
        <w:pStyle w:val="TextBody"/>
        <w:bidi w:val="0"/>
        <w:spacing w:lineRule="auto" w:line="288" w:before="0" w:after="180"/>
        <w:jc w:val="left"/>
        <w:rPr/>
      </w:pPr>
      <w:r>
        <w:rPr>
          <w:rFonts w:ascii="Times New Roman;serif" w:hAnsi="Times New Roman;serif"/>
          <w:b/>
          <w:color w:val="000000"/>
          <w:sz w:val="20"/>
        </w:rPr>
        <w:t>Revenue Recognition</w:t>
      </w:r>
      <w:r>
        <w:rPr>
          <w:color w:val="000000"/>
        </w:rPr>
        <w:t xml:space="preserve"> – </w:t>
      </w:r>
      <w:r>
        <w:rPr>
          <w:rFonts w:ascii="Times New Roman;serif" w:hAnsi="Times New Roman;serif"/>
          <w:b w:val="false"/>
          <w:color w:val="000000"/>
          <w:sz w:val="20"/>
        </w:rPr>
        <w:t xml:space="preserve">The Company is in the business of medical device sales. The Vivistim System consists of an Implantable Pulse Generator (IPG) and an implantable lead that, once implanted, stimulates the vagus nerve in the patients. </w:t>
      </w:r>
    </w:p>
    <w:p>
      <w:pPr>
        <w:pStyle w:val="TextBody"/>
        <w:bidi w:val="0"/>
        <w:spacing w:lineRule="auto" w:line="288" w:before="0" w:after="180"/>
        <w:jc w:val="left"/>
        <w:rPr/>
      </w:pPr>
      <w:r>
        <w:rPr>
          <w:rFonts w:ascii="Times New Roman;serif" w:hAnsi="Times New Roman;serif"/>
          <w:b w:val="false"/>
          <w:color w:val="000000"/>
          <w:sz w:val="20"/>
        </w:rPr>
        <w:t xml:space="preserve">The Company sells the Vivistim System to customers, primarily stroke hospitals located in the United States. The Company applies the provisions of ASU 2014-09,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and all subsequent amendments (collectively, ASC 606). Revenue is recognized upon transfer of control of promised products to customers in an amount that reflects the consideration the Company expects to receive in exchange for those products. Any taxes collected from customers are subsequently remitted to governmental authorities.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contract with a customer exists when (i) the Company enters into a legally enforceable contract with a customer that defines each party’s rights regarding the products to be transferred and identifies the related payment terms, (ii) the contract has commercial substance, and (iii) the Company determines that collection of substantially all consideration for the products transferred is probable based on the customer’s intent and ability to pay the promised consideration. Master terms agreements between the Company and its customers govern customer relationships. However, the contract is not determined to have commercial substance until a purchase order is submitted by the customer under a master terms agreement and accepted by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Payment terms and conditions vary by contract type, although terms generally include a requirement of payment within 30 days. The Company has determined that its contracts generally do not include a significant financing component. The primary purpose of the Company’s invoicing terms is to provide customers with simplified and predictable ways of purchasing the Company’s products, not to receive financing from its customers or to provide customers with financing.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IPG and implantable lead components of the Vivistim System each represent distinct performance obligations to the customer based on the benefit provided to the customer for each patient implantation. The Company also provides customers with equipment (stroke application &amp; programming software, wireless transmitter, remote control, and magnet) at the outset of each new master terms agreement, in addition to post-delivery technical support for the equipment. Both the equipment and technical support services are considered immaterial in the context of the contract.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performance obligations of the Company’s customer contract are determined by each individual purchase order and the respective product order for IPGs and implantable leads, with revenue being recognized at a point-in-time when the obligation under the terms of the agreement is satisfied and product control is transferred to the customer and not when implantation occurs. In general, a purchase order from a customer and the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3"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Company’s invoice identify the product, quantity, price, payment terms and final delivery terms. The Company does not serve as an agent for any other enterprise. For the majority of the Company’s customer arrangements, control transfers to customers at a point-in-time when the Vivistim System has been delivered to the healthcare provider, as that is generally when the customer has the ability to direct the use of and obtain substantially all of the remaining benefits from the Vivistim System. Revenue for the years ended December 31, 2025 and 2024 was $32,040,978 and $15,644,398,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is determined as the amount of consideration the Company expects to be entitled to in exchange for the products to be transferred to the customer under each purchase order, which is based on the stated price for the Vivistim System in each invoice. All pricing is fixed and there are no discounts, rebates or other price concessions.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satisfaction of the performance obligation is not subject to significant judgment due to the simplistic nature of satisfying the performance obligation. After the completion of the performance obligation, the Company has an unconditional right to payment from customers.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warrants that each product received by the customer will meet the agreed upon technical and quality specifications and requirements. Only when the delivered products do not meet these requirements can the customer return the non-compliant units as a corrective action under the warranty. The remedy offered to the customer is repair of the returned products or replacement if repair is not viable. Accordingly, warranty activities are not considered to be a separate performance obligation. The Company offers an implicit warranty for product replacement for aged, damaged, or unusable items. See Note 7 for additional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amounts billed to customers for reimbursement of shipping and handling costs as revenue. Shipping and handling costs associated with outbound freight after control over a product has transferred to a customer are accounted for as fulfillment costs and are included in cost of sales. The Company does not evaluate whether the selling price includes a financing interest component for contracts that are less than a year. The Company expenses costs incurred to obtain a contract, primarily sales commissions, as the period of benefit is less than one year. </w:t>
      </w:r>
    </w:p>
    <w:p>
      <w:pPr>
        <w:pStyle w:val="TextBody"/>
        <w:bidi w:val="0"/>
        <w:spacing w:lineRule="auto" w:line="288" w:before="0" w:after="180"/>
        <w:jc w:val="left"/>
        <w:rPr/>
      </w:pPr>
      <w:r>
        <w:rPr>
          <w:rFonts w:ascii="Times New Roman;serif" w:hAnsi="Times New Roman;serif"/>
          <w:b/>
          <w:color w:val="000000"/>
          <w:sz w:val="20"/>
        </w:rPr>
        <w:t>Leases</w:t>
      </w:r>
      <w:r>
        <w:rPr>
          <w:color w:val="000000"/>
        </w:rPr>
        <w:t xml:space="preserve"> – </w:t>
      </w:r>
      <w:r>
        <w:rPr>
          <w:rFonts w:ascii="Times New Roman;serif" w:hAnsi="Times New Roman;serif"/>
          <w:b w:val="false"/>
          <w:color w:val="000000"/>
          <w:sz w:val="20"/>
        </w:rPr>
        <w:t xml:space="preserve">The Company recognizes and measures its leases in accordance with ASC 842, </w:t>
      </w:r>
      <w:r>
        <w:rPr>
          <w:rFonts w:ascii="Times New Roman;serif" w:hAnsi="Times New Roman;serif"/>
          <w:b w:val="false"/>
          <w:i/>
          <w:color w:val="000000"/>
          <w:sz w:val="20"/>
        </w:rPr>
        <w:t>Leases</w:t>
      </w:r>
      <w:r>
        <w:rPr>
          <w:rFonts w:ascii="Times New Roman;serif" w:hAnsi="Times New Roman;serif"/>
          <w:b w:val="false"/>
          <w:color w:val="000000"/>
          <w:sz w:val="20"/>
        </w:rPr>
        <w:t>. The Company determines if an arrangement is a lease, or contains a lease, at inception of a contract and when the terms of an existing contract are changed. The Company recognizes a lease liability and a right</w:t>
        <w:noBreakHyphen/>
        <w:t>of</w:t>
        <w:noBreakHyphen/>
        <w:t>use (ROU) asset at the commencement date of the lease. The lease liability is initially and subsequently recognized based on the present value of its future lease payments over the expected lease term. Variable payments are included in the future lease payments when those variable payments depend on an index or a rate. The discount rate is the implicit rate if it is readily determinable or otherwise the Company uses its incremental borrowing rate. The implicit rates of the Company’s leases are not readily determinable and accordingly, management uses the incremental borrowing rate based on the information available at the commencement date for all leases. The Company’s incremental borrowing rate for a lease is the rate of interest it would have to pay on a collateralized basis to borrow an amount equal to the lease payments under similar terms and in a similar economic environment. The ROU asset is subsequently calculated throughout the lease term at the amount of the remeasured lease liability (i.e., present value of the remaining lease payments), plus unamortized initial direct costs, plus (minus) any prepaid (accrued) lease payments, less the unamortized balance of lease incentives received, and any impairment recognized. As a practical expedient, the Company elected not to separate non-lease components from lease components.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Lease cost for lease payments is recognized on a straight-line basis over the lease term. Lease agreements with a non-cancelable term of less than 12 months are not recorded on the Company’s balance sheet. The Company’s ROU assets and lease liabilities as of December 31, 2025 and 2024 were attributable to operating leases. For the periods presented, the Company did not have any finance leases.</w:t>
      </w:r>
    </w:p>
    <w:p>
      <w:pPr>
        <w:pStyle w:val="TextBody"/>
        <w:bidi w:val="0"/>
        <w:spacing w:lineRule="auto" w:line="288" w:before="0" w:after="180"/>
        <w:jc w:val="left"/>
        <w:rPr/>
      </w:pPr>
      <w:r>
        <w:rPr>
          <w:rFonts w:ascii="Times New Roman;serif" w:hAnsi="Times New Roman;serif"/>
          <w:b/>
          <w:color w:val="000000"/>
          <w:sz w:val="20"/>
        </w:rPr>
        <w:t xml:space="preserve">Cost of Goods Sold </w:t>
      </w:r>
      <w:r>
        <w:rPr>
          <w:color w:val="000000"/>
        </w:rPr>
        <w:t xml:space="preserve">– </w:t>
      </w:r>
      <w:r>
        <w:rPr>
          <w:rFonts w:ascii="Times New Roman;serif" w:hAnsi="Times New Roman;serif"/>
          <w:b w:val="false"/>
          <w:color w:val="000000"/>
          <w:sz w:val="20"/>
        </w:rPr>
        <w:t xml:space="preserve">Cost of goods sold consists primarily of costs directly attributable to the acquisition, assembly, and delivery of the Company’s medical device products. These costs include amounts paid to third-party suppliers for finished goods and raw materials, assembly labor, assembly-related overhead, inbound freight and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4"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logistics costs, customs and duties, inventory handling and storage costs, quality inspection and testing costs, and inventory write-downs for excess, obsolete, or slow-moving inventory.</w:t>
      </w:r>
    </w:p>
    <w:p>
      <w:pPr>
        <w:pStyle w:val="TextBody"/>
        <w:bidi w:val="0"/>
        <w:spacing w:lineRule="auto" w:line="288" w:before="0" w:after="180"/>
        <w:jc w:val="left"/>
        <w:rPr/>
      </w:pPr>
      <w:r>
        <w:rPr>
          <w:rFonts w:ascii="Times New Roman;serif" w:hAnsi="Times New Roman;serif"/>
          <w:b/>
          <w:color w:val="000000"/>
          <w:sz w:val="20"/>
        </w:rPr>
        <w:t>Advertising costs</w:t>
      </w:r>
      <w:r>
        <w:rPr>
          <w:color w:val="000000"/>
        </w:rPr>
        <w:t xml:space="preserve"> – </w:t>
      </w:r>
      <w:r>
        <w:rPr>
          <w:rFonts w:ascii="Times New Roman;serif" w:hAnsi="Times New Roman;serif"/>
          <w:b w:val="false"/>
          <w:color w:val="000000"/>
          <w:sz w:val="20"/>
        </w:rPr>
        <w:t xml:space="preserve">Advertising costs are expensed as incurred. The Company incurred $3,437,400 and $1,324,044 in advertising costs for the years ended December 31, 2025 and 2024, respectively, which are recorded within selling, general and administrative expenses. </w:t>
      </w:r>
    </w:p>
    <w:p>
      <w:pPr>
        <w:pStyle w:val="TextBody"/>
        <w:bidi w:val="0"/>
        <w:spacing w:lineRule="auto" w:line="288" w:before="0" w:after="180"/>
        <w:jc w:val="left"/>
        <w:rPr/>
      </w:pPr>
      <w:r>
        <w:rPr>
          <w:rFonts w:ascii="Times New Roman;serif" w:hAnsi="Times New Roman;serif"/>
          <w:b/>
          <w:color w:val="000000"/>
          <w:sz w:val="20"/>
        </w:rPr>
        <w:t>Share-based compensation</w:t>
      </w:r>
      <w:r>
        <w:rPr>
          <w:color w:val="000000"/>
        </w:rPr>
        <w:t xml:space="preserve"> – </w:t>
      </w:r>
      <w:r>
        <w:rPr>
          <w:rFonts w:ascii="Times New Roman;serif" w:hAnsi="Times New Roman;serif"/>
          <w:b w:val="false"/>
          <w:color w:val="000000"/>
          <w:sz w:val="20"/>
        </w:rPr>
        <w:t xml:space="preserve">The Company’s share-based payments are accounted for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using the fair value method at the grant date. The Company records share-based compensation expense on a straight-line basis over the requisite service period. Forfeitures are recognized as they occur.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Options awarded to employees are typically service-based and are amortized over the vesting term of the award, generally ranging from 36 to 48 months. Non-employee option expense is generally expensed at the date of grant unless there are service conditions in the award, in which case the options are amortized over the service period. Certain prior-period share-based compensation disclosures have been recast to conform to the current period presentation. Beginning in the current year, employee and non-employee share activity, which was presented separately in prior years, is presented on a combined basis. For additional information related to shared-based compensation, refer to Note 13. </w:t>
      </w:r>
    </w:p>
    <w:p>
      <w:pPr>
        <w:pStyle w:val="TextBody"/>
        <w:bidi w:val="0"/>
        <w:spacing w:lineRule="auto" w:line="288" w:before="0" w:after="180"/>
        <w:jc w:val="left"/>
        <w:rPr/>
      </w:pPr>
      <w:r>
        <w:rPr>
          <w:rFonts w:ascii="Times New Roman;serif" w:hAnsi="Times New Roman;serif"/>
          <w:b/>
          <w:color w:val="000000"/>
          <w:sz w:val="20"/>
        </w:rPr>
        <w:t>Redeemable convertible preferred stock</w:t>
      </w:r>
      <w:r>
        <w:rPr>
          <w:color w:val="000000"/>
        </w:rPr>
        <w:t xml:space="preserve"> </w:t>
      </w:r>
      <w:r>
        <w:rPr>
          <w:rFonts w:ascii="Times New Roman;serif" w:hAnsi="Times New Roman;serif"/>
          <w:b w:val="false"/>
          <w:color w:val="000000"/>
          <w:sz w:val="20"/>
        </w:rPr>
        <w:t xml:space="preserve">- The Company records redeemable convertible preferred stock at fair value on the dates of issuance, net of issuance costs and the initial fair value of any tranche obligation liability recognized. The redeemable convertible preferred stock is recorded outside of stockholders’ deficit because the preferred shares are contingently redeemable upon the occurrence of an event that is outside of the Company’s control. The carrying values of the redeemable convertible preferred stock are not adjusted to the liquidation preferences of such shares because it is uncertain whether or when an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liquidation event will occur. Refer to Note 11 for additional information. </w:t>
      </w:r>
    </w:p>
    <w:p>
      <w:pPr>
        <w:pStyle w:val="TextBody"/>
        <w:bidi w:val="0"/>
        <w:spacing w:lineRule="auto" w:line="288" w:before="0" w:after="180"/>
        <w:jc w:val="left"/>
        <w:rPr/>
      </w:pPr>
      <w:r>
        <w:rPr>
          <w:rFonts w:ascii="Times New Roman;serif" w:hAnsi="Times New Roman;serif"/>
          <w:b/>
          <w:color w:val="000000"/>
          <w:sz w:val="20"/>
        </w:rPr>
        <w:t>Redeemable convertible preferred stock warrants</w:t>
      </w:r>
      <w:r>
        <w:rPr>
          <w:color w:val="000000"/>
        </w:rPr>
        <w:t xml:space="preserve"> – </w:t>
      </w:r>
      <w:r>
        <w:rPr>
          <w:rFonts w:ascii="Times New Roman;serif" w:hAnsi="Times New Roman;serif"/>
          <w:b w:val="false"/>
          <w:color w:val="000000"/>
          <w:sz w:val="20"/>
        </w:rPr>
        <w:t>The Company’s redeemable convertible preferred stock warrants require liability classification and accounting as the underlying redeemable convertible preferred stock is considered contingently redeemable and may obligate the Company to transfer assets to the holders at a future date upon occurrence of a deemed liquidation event. The warrants are recorded at fair value upon issuance and are subject to remeasurement to fair value at each balance sheet date, with any changes in fair value recognized in other income, net in the statements of operations. The Company will continue to adjust the warrant liability for changes in fair value until the earlier of the exercise or expiration of the redeemable convertible preferred stock warrants, or the occurrence of a deemed liquidation event.</w:t>
      </w:r>
    </w:p>
    <w:p>
      <w:pPr>
        <w:pStyle w:val="TextBody"/>
        <w:bidi w:val="0"/>
        <w:spacing w:lineRule="auto" w:line="288" w:before="0" w:after="180"/>
        <w:jc w:val="left"/>
        <w:rPr/>
      </w:pPr>
      <w:r>
        <w:rPr>
          <w:rFonts w:ascii="Times New Roman;serif" w:hAnsi="Times New Roman;serif"/>
          <w:b/>
          <w:color w:val="000000"/>
          <w:sz w:val="20"/>
        </w:rPr>
        <w:t xml:space="preserve">Net loss per share – </w:t>
      </w:r>
      <w:r>
        <w:rPr>
          <w:rFonts w:ascii="Times New Roman;serif" w:hAnsi="Times New Roman;serif"/>
          <w:b w:val="false"/>
          <w:color w:val="000000"/>
          <w:sz w:val="20"/>
        </w:rPr>
        <w:t xml:space="preserve">The Company’s earnings (loss) per share are accounted for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Basic earnings (loss) per share is calculated by dividing net earnings (loss) attributable to common stockholders by the weighted average number of shares of common stock outstanding during the period. Diluted earnings (loss) per share is calculated similarly but includes potential dilution from the exercise of stock options and stock awards and conversion of redeemable convertible preferred stock and warrants, except when the effect would be anti-dilutive. In a period in which the Company has a net loss, all potentially dilutive securities are excluded from the computation of diluted shares outstanding as they would have an anti-dilutive impact. Earnings (loss) per share are computed using the treasury stock method.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diluted earnings (loss) per share calculation, the redeemable convertible preferred stock, redeemable convertible preferred stock warrants, common stock options and stock awards are considered to be potentially dilutive securities. Basic and diluted earnings (loss) attributable to common stockholders per share is presented in conformity with the two-class method required for participating securities as the redeemable convertible preferred stock and common stock subject to repurchase are considered participating securities. The Company’s participating securities do not have a contractual obligation to share in the Company’s losses. As such, the net loss is attributed entirely to common stockholders. Diluted net loss per share is the same as basic net loss per share because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5"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effects of potentially dilutive items were anti-dilutive given the Company’s net loss position during the years ended December 31, 2025 and 2024.</w:t>
      </w:r>
    </w:p>
    <w:p>
      <w:pPr>
        <w:pStyle w:val="TextBody"/>
        <w:bidi w:val="0"/>
        <w:spacing w:lineRule="auto" w:line="288" w:before="0" w:after="180"/>
        <w:jc w:val="left"/>
        <w:rPr/>
      </w:pPr>
      <w:r>
        <w:rPr>
          <w:rFonts w:ascii="Times New Roman;serif" w:hAnsi="Times New Roman;serif"/>
          <w:b/>
          <w:color w:val="000000"/>
          <w:sz w:val="20"/>
        </w:rPr>
        <w:t xml:space="preserve">Related Party Relationships </w:t>
      </w:r>
      <w:r>
        <w:rPr>
          <w:rFonts w:ascii="Times New Roman;serif" w:hAnsi="Times New Roman;serif"/>
          <w:b w:val="false"/>
          <w:color w:val="000000"/>
          <w:sz w:val="20"/>
        </w:rPr>
        <w:t xml:space="preserve">- During the years ended December 31, 2025 and 2024, the Company’s Chief Financial Officer held an indirect ownership interest in Exceller Hunt MicroTransponder 2017, LP (Exceller Hunt) and the Curnes Fund 2001 (Curnes Fund), both principal shareholders of the Company. Jordan Curnes, the Company’s Co-founder and Board member, also held an indirect ownership interest in the Curnes Fund for the years ended December 31, 2025 and 2024. During the year ended December 31, 2025, Exceller Hunt and the Curnes Fund acquired 1,139,946 and 854,960 shares of Series F redeemable convertible preferred stock at a price of $2.631 per share, respectively. During the year ended December 31, 2024, Exceller Hunt acquired 594,431 shares of Series E-2 redeemable convertible preferred stock at a price of $2.5443 per share. Aside from the sale of Series F and E-2 redeemable convertible preferred stock, the Company did not engage in any other related party transactions with Exceller Hunt or the Curnes Fund during the years ended December 31, 2025 and 2024. </w:t>
      </w:r>
    </w:p>
    <w:p>
      <w:pPr>
        <w:pStyle w:val="TextBody"/>
        <w:bidi w:val="0"/>
        <w:spacing w:lineRule="auto" w:line="288" w:before="0" w:after="180"/>
        <w:jc w:val="left"/>
        <w:rPr/>
      </w:pPr>
      <w:r>
        <w:rPr>
          <w:rFonts w:ascii="Times New Roman;serif" w:hAnsi="Times New Roman;serif"/>
          <w:b/>
          <w:color w:val="000000"/>
          <w:sz w:val="20"/>
        </w:rPr>
        <w:t>Recently adopted accounting standards</w:t>
      </w:r>
      <w:r>
        <w:rPr>
          <w:color w:val="000000"/>
        </w:rPr>
        <w:t xml:space="preserve"> </w:t>
      </w:r>
      <w:r>
        <w:rPr>
          <w:rFonts w:ascii="Times New Roman;serif" w:hAnsi="Times New Roman;serif"/>
          <w:b w:val="false"/>
          <w:color w:val="000000"/>
          <w:sz w:val="20"/>
        </w:rPr>
        <w:t xml:space="preserve">- On November 27, 2023, the FASB issued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which sets forth improvements to the current segment disclosure requirements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including clarifying that entities with a single reportable segment are subject to both new and existing segment reporting requirements. The Company adopted this standard with an effective date of January 1, 2024, and the adoption did not have a significant impact on the financial statements.</w:t>
      </w:r>
    </w:p>
    <w:p>
      <w:pPr>
        <w:pStyle w:val="TextBody"/>
        <w:bidi w:val="0"/>
        <w:spacing w:lineRule="auto" w:line="288" w:before="0" w:after="180"/>
        <w:jc w:val="left"/>
        <w:rPr/>
      </w:pPr>
      <w:r>
        <w:rPr>
          <w:rFonts w:ascii="Times New Roman;serif" w:hAnsi="Times New Roman;serif"/>
          <w:b/>
          <w:color w:val="000000"/>
          <w:sz w:val="20"/>
        </w:rPr>
        <w:t>Recently issued accounting standards not yet adopted</w:t>
      </w:r>
      <w:r>
        <w:rPr>
          <w:color w:val="000000"/>
        </w:rPr>
        <w:t xml:space="preserve"> – </w:t>
      </w:r>
      <w:r>
        <w:rPr>
          <w:rFonts w:ascii="Times New Roman;serif" w:hAnsi="Times New Roman;serif"/>
          <w:b w:val="false"/>
          <w:color w:val="000000"/>
          <w:sz w:val="20"/>
        </w:rPr>
        <w:t xml:space="preserve">On December 14,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however, as an EGC, the Company has elected to use the extended transition period for adopting new or revised accounting standards, and therefore the guidance will be effective for the Company for the year ended December 31, 2026. The adoption of ASU 2023-09 is expected to have a disclosure-only impact on the Company’s financial statements for the year ended December 31, 2026. The Company is currently evaluating the impact of this pronouncement on the disclosures in its financial statements. </w:t>
      </w:r>
    </w:p>
    <w:p>
      <w:pPr>
        <w:pStyle w:val="TextBody"/>
        <w:bidi w:val="0"/>
        <w:spacing w:lineRule="auto" w:line="288" w:before="0" w:after="180"/>
        <w:jc w:val="left"/>
        <w:rPr/>
      </w:pPr>
      <w:r>
        <w:rPr>
          <w:rFonts w:ascii="Times New Roman;serif" w:hAnsi="Times New Roman;serif"/>
          <w:b w:val="false"/>
          <w:color w:val="000000"/>
          <w:sz w:val="20"/>
        </w:rPr>
        <w:t xml:space="preserve">On November 4,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The Company is currently evaluating the impact of this pronouncement on the disclosures in its financial statements.</w:t>
      </w:r>
    </w:p>
    <w:p>
      <w:pPr>
        <w:pStyle w:val="TextBody"/>
        <w:bidi w:val="0"/>
        <w:spacing w:lineRule="auto" w:line="288" w:before="0" w:after="180"/>
        <w:jc w:val="left"/>
        <w:rPr/>
      </w:pPr>
      <w:r>
        <w:rPr>
          <w:rFonts w:ascii="Times New Roman;serif" w:hAnsi="Times New Roman;serif"/>
          <w:b w:val="false"/>
          <w:color w:val="000000"/>
          <w:sz w:val="20"/>
        </w:rPr>
        <w:t xml:space="preserve">On November 26, 2024, the FASB issued ASU 2024-04, </w:t>
      </w:r>
      <w:r>
        <w:rPr>
          <w:rFonts w:ascii="Times New Roman;serif" w:hAnsi="Times New Roman;serif"/>
          <w:b w:val="false"/>
          <w:i/>
          <w:color w:val="000000"/>
          <w:sz w:val="20"/>
        </w:rPr>
        <w:t>Debt – Debt with Conversion and Other Options (Subtopic 2024-04)</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rather than as extinguishment of debt. The amendments may be applied on either a prospective or a retrospective basis. This ASU is effective for fiscal years beginning after December 15, 2025, and interim periods within those annual reporting periods. The Company is currently evaluating the impact of this pronouncement on its financial statements.</w:t>
      </w:r>
    </w:p>
    <w:p>
      <w:pPr>
        <w:pStyle w:val="TextBody"/>
        <w:bidi w:val="0"/>
        <w:spacing w:lineRule="auto" w:line="288" w:before="0" w:after="180"/>
        <w:jc w:val="left"/>
        <w:rPr/>
      </w:pPr>
      <w:r>
        <w:rPr>
          <w:rFonts w:ascii="Times New Roman;serif" w:hAnsi="Times New Roman;serif"/>
          <w:b w:val="false"/>
          <w:color w:val="000000"/>
          <w:sz w:val="20"/>
        </w:rPr>
        <w:t xml:space="preserve">On December 8,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is intended to improve the navigability of interim disclosures, clarifies when Topic 270 applies, and provides additional interim disclosure guidance, including a principle to disclose material events since the most recent annual reporting period. The amendments do not change the underlying objectives of interim reporting but are designed to enhance clarity in application. This ASU is effective for interim reporting periods within annual reporting periods beginning after December 15, 2027; however, as an EGC, the Company has elected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6"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use the extended transition period for adopting new or revised accounting standards, and therefore the guidance will be effective for the Company for interim periods within the year ended December 31, 2029. The Company is currently evaluating the impact of this pronouncement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Measurements</w:t>
      </w:r>
    </w:p>
    <w:p>
      <w:pPr>
        <w:pStyle w:val="TextBody"/>
        <w:bidi w:val="0"/>
        <w:spacing w:lineRule="auto" w:line="288" w:before="0" w:after="180"/>
        <w:jc w:val="left"/>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lineRule="auto" w:line="288" w:before="0" w:after="180"/>
        <w:jc w:val="left"/>
        <w:rPr/>
      </w:pPr>
      <w:r>
        <w:rPr>
          <w:rFonts w:ascii="Times New Roman;serif" w:hAnsi="Times New Roman;serif"/>
          <w:b w:val="false"/>
          <w:i/>
          <w:color w:val="000000"/>
          <w:sz w:val="20"/>
        </w:rPr>
        <w:t xml:space="preserve">Level 1 </w:t>
      </w:r>
      <w:r>
        <w:rPr>
          <w:color w:val="000000"/>
        </w:rPr>
        <w:t xml:space="preserve">– </w:t>
      </w:r>
      <w:r>
        <w:rPr>
          <w:rFonts w:ascii="Times New Roman;serif" w:hAnsi="Times New Roman;serif"/>
          <w:b w:val="false"/>
          <w:color w:val="000000"/>
          <w:sz w:val="20"/>
        </w:rPr>
        <w:t>This level consists of 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80"/>
        <w:jc w:val="left"/>
        <w:rPr/>
      </w:pPr>
      <w:r>
        <w:rPr>
          <w:rFonts w:ascii="Times New Roman;serif" w:hAnsi="Times New Roman;serif"/>
          <w:b w:val="false"/>
          <w:i/>
          <w:color w:val="000000"/>
          <w:sz w:val="20"/>
        </w:rPr>
        <w:t xml:space="preserve">Level 2 </w:t>
      </w:r>
      <w:r>
        <w:rPr>
          <w:color w:val="000000"/>
        </w:rPr>
        <w:t xml:space="preserve">– </w:t>
      </w:r>
      <w:r>
        <w:rPr>
          <w:rFonts w:ascii="Times New Roman;serif" w:hAnsi="Times New Roman;serif"/>
          <w:b w:val="false"/>
          <w:color w:val="000000"/>
          <w:sz w:val="20"/>
        </w:rPr>
        <w:t>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lineRule="auto" w:line="288" w:before="0" w:after="180"/>
        <w:jc w:val="left"/>
        <w:rPr/>
      </w:pPr>
      <w:r>
        <w:rPr>
          <w:rFonts w:ascii="Times New Roman;serif" w:hAnsi="Times New Roman;serif"/>
          <w:b w:val="false"/>
          <w:i/>
          <w:color w:val="000000"/>
          <w:sz w:val="20"/>
        </w:rPr>
        <w:t xml:space="preserve">Level 3 </w:t>
      </w:r>
      <w:r>
        <w:rPr>
          <w:color w:val="000000"/>
        </w:rPr>
        <w:t xml:space="preserve">– </w:t>
      </w:r>
      <w:r>
        <w:rPr>
          <w:rFonts w:ascii="Times New Roman;serif" w:hAnsi="Times New Roman;serif"/>
          <w:b w:val="false"/>
          <w:color w:val="000000"/>
          <w:sz w:val="20"/>
        </w:rPr>
        <w:t>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lineRule="auto" w:line="288" w:before="0" w:after="180"/>
        <w:jc w:val="left"/>
        <w:rPr/>
      </w:pPr>
      <w:r>
        <w:rPr>
          <w:rFonts w:ascii="Times New Roman;serif" w:hAnsi="Times New Roman;serif"/>
          <w:b/>
          <w:color w:val="000000"/>
          <w:sz w:val="20"/>
        </w:rPr>
        <w:t xml:space="preserve">Fair Value of Liabilities – </w:t>
      </w:r>
      <w:r>
        <w:rPr>
          <w:rFonts w:ascii="Times New Roman;serif" w:hAnsi="Times New Roman;serif"/>
          <w:b w:val="false"/>
          <w:color w:val="000000"/>
          <w:sz w:val="20"/>
        </w:rPr>
        <w:t>The following tables represent the Company’s financial liabilities according to the fair value hierarchy, measured at fair value:</w:t>
      </w:r>
    </w:p>
    <w:tbl>
      <w:tblPr>
        <w:tblW w:w="7199" w:type="dxa"/>
        <w:jc w:val="left"/>
        <w:tblInd w:w="0" w:type="dxa"/>
        <w:tblLayout w:type="fixed"/>
        <w:tblCellMar>
          <w:top w:w="28" w:type="dxa"/>
          <w:left w:w="28" w:type="dxa"/>
          <w:bottom w:w="28" w:type="dxa"/>
          <w:right w:w="28" w:type="dxa"/>
        </w:tblCellMar>
      </w:tblPr>
      <w:tblGrid>
        <w:gridCol w:w="879"/>
        <w:gridCol w:w="773"/>
        <w:gridCol w:w="777"/>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99" w:type="dxa"/>
        <w:jc w:val="left"/>
        <w:tblInd w:w="0" w:type="dxa"/>
        <w:tblLayout w:type="fixed"/>
        <w:tblCellMar>
          <w:top w:w="28" w:type="dxa"/>
          <w:left w:w="28" w:type="dxa"/>
          <w:bottom w:w="28" w:type="dxa"/>
          <w:right w:w="28" w:type="dxa"/>
        </w:tblCellMar>
      </w:tblPr>
      <w:tblGrid>
        <w:gridCol w:w="879"/>
        <w:gridCol w:w="773"/>
        <w:gridCol w:w="777"/>
        <w:gridCol w:w="211"/>
        <w:gridCol w:w="406"/>
        <w:gridCol w:w="109"/>
        <w:gridCol w:w="109"/>
        <w:gridCol w:w="109"/>
        <w:gridCol w:w="109"/>
        <w:gridCol w:w="211"/>
        <w:gridCol w:w="406"/>
        <w:gridCol w:w="109"/>
        <w:gridCol w:w="109"/>
        <w:gridCol w:w="109"/>
        <w:gridCol w:w="109"/>
        <w:gridCol w:w="211"/>
        <w:gridCol w:w="976"/>
        <w:gridCol w:w="109"/>
        <w:gridCol w:w="109"/>
        <w:gridCol w:w="109"/>
        <w:gridCol w:w="109"/>
        <w:gridCol w:w="211"/>
        <w:gridCol w:w="97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the warrants to purchase the Company’s redeemable convertible preferred stock is dependent on inputs for which there is little or no market data, in particular the value of the Company’s stock. As a result, the valuation of the warrants to purchase the Company’s redeemable convertible preferred stock is categorized as Level 3. When a determination is made to classify a financial instrument within Level 3, the determination is based upon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7"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lowest level of significance of the unobservable inputs to the overall fair value measurement. However, Level 3 financial instruments typically include, in addition to the unobservable inputs, observable inputs (that is, components that are actively quoted and can be validated to external sources). The fair values could change significantly based on future market conditions.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warrant liability is estimated using the option-pricing model based on the Black-Scholes-Merton model with the following inputs: </w:t>
      </w:r>
    </w:p>
    <w:tbl>
      <w:tblPr>
        <w:tblW w:w="1020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46"/>
        <w:gridCol w:w="1355"/>
        <w:gridCol w:w="443"/>
        <w:gridCol w:w="109"/>
        <w:gridCol w:w="109"/>
        <w:gridCol w:w="109"/>
        <w:gridCol w:w="413"/>
        <w:gridCol w:w="1208"/>
        <w:gridCol w:w="530"/>
        <w:gridCol w:w="109"/>
        <w:gridCol w:w="109"/>
        <w:gridCol w:w="109"/>
        <w:gridCol w:w="469"/>
        <w:gridCol w:w="1606"/>
        <w:gridCol w:w="710"/>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D Preferred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E-2 and F Preferred Warrants</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Strike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3.73744 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2.5443 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46"/>
        <w:gridCol w:w="1355"/>
        <w:gridCol w:w="443"/>
        <w:gridCol w:w="109"/>
        <w:gridCol w:w="109"/>
        <w:gridCol w:w="109"/>
        <w:gridCol w:w="413"/>
        <w:gridCol w:w="1208"/>
        <w:gridCol w:w="530"/>
        <w:gridCol w:w="109"/>
        <w:gridCol w:w="109"/>
        <w:gridCol w:w="109"/>
        <w:gridCol w:w="469"/>
        <w:gridCol w:w="1606"/>
        <w:gridCol w:w="710"/>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D Preferred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E-2 and F Preferred Warrants</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Strike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3.73744 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2.5443 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volatility based upon analysis of the historical volatility of guideline public companies as well as factors specific to the Company, including, but not limited to, size, expected growth and relative risk. The expected life assumption is based on the remaining contractual terms of the warrants. The risk-free rate as of December 31, 2025 and 2024 is based on the 1.5 year and 2.5 year U.S. treasury bond yield, respectively. The expected dividend yield used is zero, because the Company has no present intention to pay cash dividends. The fair value of the warrant liability as of December 31, 2025 and 2024 was $865,390 and $1,007,342, respectively. The change in fair value of the warrant liability for the years ended December 31, 2025 and 2024 was immaterial and recorded within other income, net in the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5 – Property and Equipment, net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 of the following as of December 31, 2025 and 2024: </w:t>
      </w:r>
    </w:p>
    <w:tbl>
      <w:tblPr>
        <w:tblW w:w="5288" w:type="dxa"/>
        <w:jc w:val="left"/>
        <w:tblInd w:w="0" w:type="dxa"/>
        <w:tblLayout w:type="fixed"/>
        <w:tblCellMar>
          <w:top w:w="28" w:type="dxa"/>
          <w:left w:w="28" w:type="dxa"/>
          <w:bottom w:w="28" w:type="dxa"/>
          <w:right w:w="28" w:type="dxa"/>
        </w:tblCellMar>
      </w:tblPr>
      <w:tblGrid>
        <w:gridCol w:w="949"/>
        <w:gridCol w:w="835"/>
        <w:gridCol w:w="840"/>
        <w:gridCol w:w="211"/>
        <w:gridCol w:w="826"/>
        <w:gridCol w:w="109"/>
        <w:gridCol w:w="109"/>
        <w:gridCol w:w="109"/>
        <w:gridCol w:w="109"/>
        <w:gridCol w:w="211"/>
        <w:gridCol w:w="82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&amp;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23" w:after="20"/>
              <w:jc w:val="left"/>
              <w:rPr/>
            </w:pPr>
            <w:r>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expense was $151,657 and $115,017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8"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 Accrued and other current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December 31, 2025 and 2024:</w:t>
      </w:r>
    </w:p>
    <w:tbl>
      <w:tblPr>
        <w:tblW w:w="6143" w:type="dxa"/>
        <w:jc w:val="left"/>
        <w:tblInd w:w="0" w:type="dxa"/>
        <w:tblLayout w:type="fixed"/>
        <w:tblCellMar>
          <w:top w:w="28" w:type="dxa"/>
          <w:left w:w="28" w:type="dxa"/>
          <w:bottom w:w="28" w:type="dxa"/>
          <w:right w:w="28" w:type="dxa"/>
        </w:tblCellMar>
      </w:tblPr>
      <w:tblGrid>
        <w:gridCol w:w="1261"/>
        <w:gridCol w:w="1106"/>
        <w:gridCol w:w="1112"/>
        <w:gridCol w:w="211"/>
        <w:gridCol w:w="826"/>
        <w:gridCol w:w="109"/>
        <w:gridCol w:w="109"/>
        <w:gridCol w:w="109"/>
        <w:gridCol w:w="109"/>
        <w:gridCol w:w="211"/>
        <w:gridCol w:w="82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expense reimbursements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 Product Warranties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an assurance-type warranty that its products will conform to agreed-upon technical and quality specifications. The warranty provides for repair or replacement of products that fail to meet specifications or become unusable during this period, which generally ranges from one to two years, depending on the product.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a warranty reserve for IPGs and leads and began recording a warranty liability in 2024 based on historical product replacement experience. A warranty liability is recorded at the time revenue is recognized for all periods presented and is separately presented as product warranty liability on the face of the balance sheets. The warranty reserve is estimated based on historical product replacement experience. The Company establishes product replacement rates separately for IPGs and leads using historical replacement data beginning with the first full period of commercial shipments. The replacement rate represents the average historical rate of product replacement and is applied to units sold during each reporting period to estimate expected warranty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developing its replacement rate assumptions, the Company evaluates historical replacement patterns over the expected product life cycle. The warranty accrual is calculated quarterly. The Company evaluates and updates its replacement rate assumptions annually, or more frequently if actual experience or product performance trends indicate that revisions are necessary. A reconciliation of the changes in the product warranty liability is as follows:</w:t>
      </w:r>
    </w:p>
    <w:tbl>
      <w:tblPr>
        <w:tblW w:w="5183" w:type="dxa"/>
        <w:jc w:val="left"/>
        <w:tblInd w:w="0" w:type="dxa"/>
        <w:tblLayout w:type="fixed"/>
        <w:tblCellMar>
          <w:top w:w="28" w:type="dxa"/>
          <w:left w:w="28" w:type="dxa"/>
          <w:bottom w:w="28" w:type="dxa"/>
          <w:right w:w="28" w:type="dxa"/>
        </w:tblCellMar>
      </w:tblPr>
      <w:tblGrid>
        <w:gridCol w:w="913"/>
        <w:gridCol w:w="801"/>
        <w:gridCol w:w="805"/>
        <w:gridCol w:w="211"/>
        <w:gridCol w:w="826"/>
        <w:gridCol w:w="109"/>
        <w:gridCol w:w="109"/>
        <w:gridCol w:w="109"/>
        <w:gridCol w:w="109"/>
        <w:gridCol w:w="211"/>
        <w:gridCol w:w="82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settled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8 – Notes Payable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December 2023, the Company entered into a Loan and Security Agreement (the Agreement) with a lender. The Agreement provides for loan commitments of up to an aggregate principal amount of $30,000,000, available in four equal tranches of $7,500,000. Each tranche comprises two equal loans of $3,750,000. The loan commitments are subject to various conditions and requirements set out in the Agreement, including capital raising requirements and revenue milestones. The Company’s ability to draw additional loans under the Agreement expired on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Agreement, the Company was required to issue warrants to purchase the Company’s preferred or common stock securities in the event the Company draws down a tranche under the Agreement. The interest rate for each loan is an annual rate equal to the greater of (i) the Wall Street Journal (or any successor thereto) prime rate (subject to a floor of 8.50%) plus 3.75% and (ii) 12.25%. The Company is required to make monthly payments of interest only through January 1, 2028. Following such date, the Company is required to make monthly payments of principal and accrued interest through maturity. The unpaid balance of principal and accrued interest is due at maturity.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 matures on January 1, 2029. The loans are subject to prepayment penalties of 1% to 3% based upon the length of time that the Agreement has been in place. Collateral for the loans includes substantially all of the assets of the Company, excluding intellectual property.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9"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satisfied the conditions for the first tranche under the Loan Agreement and, on December 29, 2023, the Company drew down $7,500,000 under the Agreement. The amounts outstanding under the promissory notes issued pursuant to the Agreement (collectively, Notes) are classified as long-term liabilities on the Company’s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maturities of the Notes as of December 31, 2025:</w:t>
      </w:r>
    </w:p>
    <w:tbl>
      <w:tblPr>
        <w:tblW w:w="6782" w:type="dxa"/>
        <w:jc w:val="left"/>
        <w:tblInd w:w="0" w:type="dxa"/>
        <w:tblLayout w:type="fixed"/>
        <w:tblCellMar>
          <w:top w:w="28" w:type="dxa"/>
          <w:left w:w="28" w:type="dxa"/>
          <w:bottom w:w="28" w:type="dxa"/>
          <w:right w:w="28" w:type="dxa"/>
        </w:tblCellMar>
      </w:tblPr>
      <w:tblGrid>
        <w:gridCol w:w="1849"/>
        <w:gridCol w:w="1630"/>
        <w:gridCol w:w="1635"/>
        <w:gridCol w:w="109"/>
        <w:gridCol w:w="109"/>
        <w:gridCol w:w="109"/>
        <w:gridCol w:w="211"/>
        <w:gridCol w:w="976"/>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draw down of the first tranche under the Agreement, the Company issued warrants to purchase such number of securities representing an aggregate of $262,500 to the lender. The warrants are exercisable at the election of the holder for shares of (i) Series E-2 redeemable convertible preferred stock at an exercise price of $2.5443 per share or, (ii) shares of Series F redeemable convertible preferred stock at an exercise price of $2.6317 per share (“Series E-2 and F Preferred Warrants”) and expire ten years from the date of issuance. The warrants allow for the settlement in shares and are transferable at the holders’ discretion. The value of the warrants is capped at $2.5443 per share, a total of $262,500, but the number of shares is not limited.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Debt issuance costs of $179,287 that were proportionately allocated to the Notes, were recorded as a discount to the Notes to be amortized to interest expense over the term of the Notes. Total debt issuance costs incurred were $185,597. The amount of debt issuance costs that were allocated to the warrants were expensed as incurred.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expense was $967,368 and $969,920 for the years ended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9 – Leases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7, 2023, the Company entered into a noncancellable operating lease for office space and warehouse space. The commencement date of this lease was July 1, 2023, with an end date of July 31, 2028. Leases for all prior years were month to month. The lease contains a renewal option to extend the term for a period of five years. Because the Company is reasonably certain to exercise its renewal option, the optional period is included in determining the lease term, and associated payments under these renewal options are included in lease payments. The Company’s lease does not include termination options for either party to the lease or restrictive financial or other covenants. Payments due under the lease contract include fixed payments plus variable payments. The Company’s office space lease requires it to make variable payments for the Company’s proportionate share of the building’s property taxes, and common area operating expenses. These variable lease payments are not included in lease payments used to determine lease liability and are recognized as variable costs when incurred.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modification of its existing operating lease. The modification extended the lease term to April 30, 2030, expanded the office space and revised the future lease payments. Although the modification grants the Company an additional right of use at a stand-alone price, the modification also changes the scope of the original lease by extending it two additional years while also removing the renewal option. As such, the modification has been accounted for as a single contract.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8, 2025, the Company entered into an additional non-cancellable operating lease for office space. The commencement date of the lease was September 1, 2025, with an end date of August 31, 2028. Payments due under the lease contract include fixed payments plus variable payments. The Company’s office space lease requires it to make variable payments for the Company’s proportionate share of the building’s property taxes, and common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0"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area operating expenses. These variable lease payments are not included in lease payments used to determine lease liability and are recognized as variable costs when incurred in accordance with ASC 842. </w:t>
      </w:r>
    </w:p>
    <w:tbl>
      <w:tblPr>
        <w:tblW w:w="4629" w:type="dxa"/>
        <w:jc w:val="left"/>
        <w:tblInd w:w="0" w:type="dxa"/>
        <w:tblLayout w:type="fixed"/>
        <w:tblCellMar>
          <w:top w:w="28" w:type="dxa"/>
          <w:left w:w="28" w:type="dxa"/>
          <w:bottom w:w="28" w:type="dxa"/>
          <w:right w:w="28" w:type="dxa"/>
        </w:tblCellMar>
      </w:tblPr>
      <w:tblGrid>
        <w:gridCol w:w="711"/>
        <w:gridCol w:w="625"/>
        <w:gridCol w:w="629"/>
        <w:gridCol w:w="211"/>
        <w:gridCol w:w="826"/>
        <w:gridCol w:w="109"/>
        <w:gridCol w:w="109"/>
        <w:gridCol w:w="109"/>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Short-term lease cost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(1)Beginning in 2025, the Company separately presents lease costs for operating leases greater than one year and short-term leases, which were presented on a combined basis in the prior year. Amounts for 2024 has been reclassified to conform to the current period’s 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lease balances within the balance sheet as of December 31, 2025 and 2024:</w:t>
      </w:r>
    </w:p>
    <w:tbl>
      <w:tblPr>
        <w:tblW w:w="6578" w:type="dxa"/>
        <w:jc w:val="left"/>
        <w:tblInd w:w="0" w:type="dxa"/>
        <w:tblLayout w:type="fixed"/>
        <w:tblCellMar>
          <w:top w:w="28" w:type="dxa"/>
          <w:left w:w="28" w:type="dxa"/>
          <w:bottom w:w="28" w:type="dxa"/>
          <w:right w:w="28" w:type="dxa"/>
        </w:tblCellMar>
      </w:tblPr>
      <w:tblGrid>
        <w:gridCol w:w="1363"/>
        <w:gridCol w:w="1197"/>
        <w:gridCol w:w="1204"/>
        <w:gridCol w:w="211"/>
        <w:gridCol w:w="976"/>
        <w:gridCol w:w="109"/>
        <w:gridCol w:w="109"/>
        <w:gridCol w:w="109"/>
        <w:gridCol w:w="109"/>
        <w:gridCol w:w="211"/>
        <w:gridCol w:w="82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undiscounted future minimum lease payments, which reconcile to the total lease liability as follows:</w:t>
      </w:r>
    </w:p>
    <w:tbl>
      <w:tblPr>
        <w:tblW w:w="6003" w:type="dxa"/>
        <w:jc w:val="left"/>
        <w:tblInd w:w="0" w:type="dxa"/>
        <w:tblLayout w:type="fixed"/>
        <w:tblCellMar>
          <w:top w:w="28" w:type="dxa"/>
          <w:left w:w="28" w:type="dxa"/>
          <w:bottom w:w="28" w:type="dxa"/>
          <w:right w:w="28" w:type="dxa"/>
        </w:tblCellMar>
      </w:tblPr>
      <w:tblGrid>
        <w:gridCol w:w="1568"/>
        <w:gridCol w:w="1380"/>
        <w:gridCol w:w="1387"/>
        <w:gridCol w:w="109"/>
        <w:gridCol w:w="109"/>
        <w:gridCol w:w="109"/>
        <w:gridCol w:w="211"/>
        <w:gridCol w:w="97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years ending December 31, 2025 and 2024, supplemental cash flow information related to leases were as follows:</w:t>
      </w:r>
    </w:p>
    <w:tbl>
      <w:tblPr>
        <w:tblW w:w="9077" w:type="dxa"/>
        <w:jc w:val="left"/>
        <w:tblInd w:w="0" w:type="dxa"/>
        <w:tblLayout w:type="fixed"/>
        <w:tblCellMar>
          <w:top w:w="28" w:type="dxa"/>
          <w:left w:w="28" w:type="dxa"/>
          <w:bottom w:w="28" w:type="dxa"/>
          <w:right w:w="28" w:type="dxa"/>
        </w:tblCellMar>
      </w:tblPr>
      <w:tblGrid>
        <w:gridCol w:w="2246"/>
        <w:gridCol w:w="1969"/>
        <w:gridCol w:w="1979"/>
        <w:gridCol w:w="211"/>
        <w:gridCol w:w="826"/>
        <w:gridCol w:w="271"/>
        <w:gridCol w:w="109"/>
        <w:gridCol w:w="109"/>
        <w:gridCol w:w="109"/>
        <w:gridCol w:w="211"/>
        <w:gridCol w:w="721"/>
        <w:gridCol w:w="316"/>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amounts included in the measurement of lease liabilities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 (including short term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2024, the Company recognized $701,125 and $0, respectively, of right-of-use assets in exchange for corresponding operating lease liabilities. These non</w:t>
        <w:noBreakHyphen/>
        <w:t>cash transactions are excluded from the Statements of Cash Flows.</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1"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10 – Income Taxes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consist of the following as of December 31:</w:t>
      </w:r>
    </w:p>
    <w:tbl>
      <w:tblPr>
        <w:tblW w:w="7988" w:type="dxa"/>
        <w:jc w:val="left"/>
        <w:tblInd w:w="0" w:type="dxa"/>
        <w:tblLayout w:type="fixed"/>
        <w:tblCellMar>
          <w:top w:w="28" w:type="dxa"/>
          <w:left w:w="28" w:type="dxa"/>
          <w:bottom w:w="28" w:type="dxa"/>
          <w:right w:w="28" w:type="dxa"/>
        </w:tblCellMar>
      </w:tblPr>
      <w:tblGrid>
        <w:gridCol w:w="1745"/>
        <w:gridCol w:w="1532"/>
        <w:gridCol w:w="1537"/>
        <w:gridCol w:w="211"/>
        <w:gridCol w:w="1081"/>
        <w:gridCol w:w="109"/>
        <w:gridCol w:w="109"/>
        <w:gridCol w:w="109"/>
        <w:gridCol w:w="109"/>
        <w:gridCol w:w="211"/>
        <w:gridCol w:w="1081"/>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and tax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 &amp; amortization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lease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24,188,987 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lease asset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deferred tax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assets before valuation allowance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management has evaluated the various tax positions reflected in income tax returns for both federal and state jurisdictions. In assessing the ability to realize deferred tax assets, management considers whether it is more likely than not that some portion or all of the deferred tax assets will not be realized. Management believes that there are no tax positions for which a liability for unrecognized tax benefits should be recorded as of December 31, 2025. The Company’s federal income tax returns generally remain subject to examination by the Internal Revenue Service for three years from the date the return is due, including extensions for years in which the net operating loss is utilized. The Company’s state income tax returns are subject to examination, four years from the date of filing. Deferred income tax calculations reflect the effects of temporary differences between the carrying amounts of assets and liabilities and their tax bases, as well as from net operating loss carryforwards. Federal net operating losses incurred after December 31, 2017, can only offset 80% of taxable income in tax years beginning after December 31, 2020. However, these net operating losses may be carried forward indefinitely instead of such carryforward being limited to twenty years under previous tax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introducing various federal tax changes, including extensions of certain 2017 Tax Cuts and Jobs Act (“TCJA”) provisions and updates to individual and business tax rules. Management evaluated the provisions applicable to the Company and determined that OBBBA did not have a significant impact on the Company’s financial statements for the year ended December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provision for income taxes attributable to income before taxes and the amounts that would be expected using the U.S. federal statutory income tax rate of 21% is as follows as of December 31:</w:t>
      </w:r>
    </w:p>
    <w:tbl>
      <w:tblPr>
        <w:tblW w:w="8135" w:type="dxa"/>
        <w:jc w:val="left"/>
        <w:tblInd w:w="0" w:type="dxa"/>
        <w:tblLayout w:type="fixed"/>
        <w:tblCellMar>
          <w:top w:w="28" w:type="dxa"/>
          <w:left w:w="28" w:type="dxa"/>
          <w:bottom w:w="28" w:type="dxa"/>
          <w:right w:w="28" w:type="dxa"/>
        </w:tblCellMar>
      </w:tblPr>
      <w:tblGrid>
        <w:gridCol w:w="1071"/>
        <w:gridCol w:w="940"/>
        <w:gridCol w:w="944"/>
        <w:gridCol w:w="211"/>
        <w:gridCol w:w="1051"/>
        <w:gridCol w:w="109"/>
        <w:gridCol w:w="109"/>
        <w:gridCol w:w="109"/>
        <w:gridCol w:w="109"/>
        <w:gridCol w:w="216"/>
        <w:gridCol w:w="219"/>
        <w:gridCol w:w="271"/>
        <w:gridCol w:w="109"/>
        <w:gridCol w:w="109"/>
        <w:gridCol w:w="109"/>
        <w:gridCol w:w="211"/>
        <w:gridCol w:w="1051"/>
        <w:gridCol w:w="109"/>
        <w:gridCol w:w="109"/>
        <w:gridCol w:w="109"/>
        <w:gridCol w:w="109"/>
        <w:gridCol w:w="216"/>
        <w:gridCol w:w="219"/>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reconciliation</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Federal income tax statutory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Return to provision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color w:val="000000"/>
              </w:rPr>
            </w:pPr>
            <w:r>
              <w:rPr>
                <w:color w:val="000000"/>
              </w:rPr>
              <w:t>     </w:t>
            </w: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2"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assets represent amounts available to reduce income taxes payable on taxable income in future years.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are as follows for the years ended December 31:</w:t>
      </w:r>
    </w:p>
    <w:tbl>
      <w:tblPr>
        <w:tblW w:w="4764" w:type="dxa"/>
        <w:jc w:val="left"/>
        <w:tblInd w:w="0" w:type="dxa"/>
        <w:tblLayout w:type="fixed"/>
        <w:tblCellMar>
          <w:top w:w="28" w:type="dxa"/>
          <w:left w:w="28" w:type="dxa"/>
          <w:bottom w:w="28" w:type="dxa"/>
          <w:right w:w="28" w:type="dxa"/>
        </w:tblCellMar>
      </w:tblPr>
      <w:tblGrid>
        <w:gridCol w:w="875"/>
        <w:gridCol w:w="768"/>
        <w:gridCol w:w="772"/>
        <w:gridCol w:w="211"/>
        <w:gridCol w:w="616"/>
        <w:gridCol w:w="109"/>
        <w:gridCol w:w="109"/>
        <w:gridCol w:w="109"/>
        <w:gridCol w:w="109"/>
        <w:gridCol w:w="211"/>
        <w:gridCol w:w="72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(benefit)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net changes in federal valuation allowance for the years ended December 31, 2025 and 2024 were $9,555,947 and $5,338,392,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had tax effected federal income tax loss carryforwards of approximately $26,754,656, tax effected state income tax loss carryforwards of approximately $3,257,900 and federal research tax credits of approximately $1,899,417. Tax effected net operating losses of $4,650,380 were generated before January 1, 2018 and begin to expire in 2027 for federal tax purposes. $22,104,276 of tax effected net operating losses were generated after January 1, 2018, and have an indefinite carryover period.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Utilization of the net operating loss carry forwards and credits may be subject to a substantial annual limitation due to the ownership change limitations provided by the Internal Revenue Code of 1986, as amended, and similar state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11 – Redeemable Convertible Preferred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issued Series A redeemable convertible preferred stock (“Series A”), Series B redeemable convertible preferred stock (“Series B”), Series C redeemable convertible preferred stock (“Series C”), Series D redeemable convertible preferred stock (“Series D”), Series E-1 redeemable convertible preferred stock (“Series E-1”), Series E-2 redeemable convertible preferred stock (“Series E-2”), and Series F redeemable convertible preferred stock (“Series F”), collectively the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Series F preferred stock purchase agreement (the “Series F Agreement) pursuant to which the Company issued 12,349,423 shares of Series F redeemable convertible preferred stock at a price of $2.6317 per share for gross cash proceeds of $32,499,977. The Series F Agreement also required the Company to issue, and the investors to purchase, an additional 12,349,423 shares of Series F redeemable convertible preferred stock at the same price per share on or around October 15, 2025 for additional gross cash proceeds of $32,499,977 (the “Series F preferred stock tranche obligation”).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a Series E preferred stock purchase agreement (the “Series E Agreement”) which provided for the initial issuance of 11,791,051 shares of Series E-2 at a price of $2.5443 per share for gross cash proceeds of $30,000,000. The Series E Agreement also provided the Company an obligation to issue, and the investors an obligation to purchase, an additional 11,791,051 shares of Series E-2 at a price of $2.5443 per share for gross cash proceeds of $30,000,000, when certain conditions were met (the “Series E-2 preferred stock tranche obligation”).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classified the Series F and Series E-2 preferred stock tranche obligations as liabilities on its balance sheets as they each represent a freestanding financial instrument that may require the Company to transfer assets to settle its obligation (upon events that are outside of its control). The Series F and Series E-2 preferred stock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3"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tranche obligations were initially recorded at fair value upon the date of issuance and were subsequently remeasured to fair value at each reporting date until settlement. Changes in the fair value of the Series F and Series E-2 preferred stock tranche obligations were recognized as a component of other income, net in the statements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Series F preferred stock tranche obligation was settled in October 2025, with the issuance of 12,349,423 shares of Series F at a price of $2.6317 per share for gross cash proceeds of $32,499,977. The Series F preferred stock tranche obligation had an initial fair value of $680,600 and was subsequently remeasured to its fair value of $915,216 upon settlement in October 2025, with the change in fair value of $234,616 recognized as a component of other income, net in the statements of operations. As a result of the initial issuance of Series F in March 2025, as well as the settlement of the Series F preferred stock tranche obligation in October 2025, 24,698,846 shares of Series F were recorded at their fair value of $64,947,303, net of issuance costs of $287,267.</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Series E-2 preferred stock tranche obligation was partially settled in 2023 with the issuance of 5,895,531 shares of Series E-2 at a price of $2.5443 per share for gross cash proceeds of $15,000,000. The remaining Series E-2 preferred stock tranche obligation was settled in October 2024 with the issuance of the remaining 5,895,531 shares of Series E-2 at a price of $2.5443 per share for gross cash proceeds of $15,000,000. The remaining Series E-2 preferred stock tranche obligation had a fair value of $299,360 as of January 1, 2024 and was subsequently remeasured to its fair value of $311,800 upon settlement in October 2024, with the change in fair value of $12,440 recognized as a component of other income, net in the statements of operations. As a result of this issuance, the remaining Series E-2 preferred stock tranche obligation of $311,800 was settled and the 5,895,531 shares of Series E-2 were recorded at their fair value of $15,298,362, net of issuance costs of $13,358.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Preferred Stock consists of the following:</w:t>
      </w:r>
    </w:p>
    <w:tbl>
      <w:tblPr>
        <w:tblW w:w="10205" w:type="dxa"/>
        <w:jc w:val="left"/>
        <w:tblInd w:w="0" w:type="dxa"/>
        <w:tblLayout w:type="fixed"/>
        <w:tblCellMar>
          <w:top w:w="28" w:type="dxa"/>
          <w:left w:w="28" w:type="dxa"/>
          <w:bottom w:w="28" w:type="dxa"/>
          <w:right w:w="28" w:type="dxa"/>
        </w:tblCellMar>
      </w:tblPr>
      <w:tblGrid>
        <w:gridCol w:w="273"/>
        <w:gridCol w:w="241"/>
        <w:gridCol w:w="243"/>
        <w:gridCol w:w="583"/>
        <w:gridCol w:w="521"/>
        <w:gridCol w:w="522"/>
        <w:gridCol w:w="109"/>
        <w:gridCol w:w="109"/>
        <w:gridCol w:w="109"/>
        <w:gridCol w:w="694"/>
        <w:gridCol w:w="679"/>
        <w:gridCol w:w="681"/>
        <w:gridCol w:w="109"/>
        <w:gridCol w:w="109"/>
        <w:gridCol w:w="109"/>
        <w:gridCol w:w="584"/>
        <w:gridCol w:w="406"/>
        <w:gridCol w:w="407"/>
        <w:gridCol w:w="109"/>
        <w:gridCol w:w="109"/>
        <w:gridCol w:w="109"/>
        <w:gridCol w:w="211"/>
        <w:gridCol w:w="1186"/>
        <w:gridCol w:w="109"/>
        <w:gridCol w:w="109"/>
        <w:gridCol w:w="109"/>
        <w:gridCol w:w="109"/>
        <w:gridCol w:w="211"/>
        <w:gridCol w:w="1186"/>
        <w:gridCol w:w="160"/>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Issued and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issuance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Value</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3.73744 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14,894,446 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5,729,934 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20,467,055 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E-1</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12,948,713 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E-2</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59,999,943 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F</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64,999,954 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67,174,403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65,591,701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179,772,875 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182,255,492 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3"/>
        <w:gridCol w:w="241"/>
        <w:gridCol w:w="243"/>
        <w:gridCol w:w="583"/>
        <w:gridCol w:w="521"/>
        <w:gridCol w:w="522"/>
        <w:gridCol w:w="109"/>
        <w:gridCol w:w="109"/>
        <w:gridCol w:w="109"/>
        <w:gridCol w:w="694"/>
        <w:gridCol w:w="679"/>
        <w:gridCol w:w="681"/>
        <w:gridCol w:w="109"/>
        <w:gridCol w:w="109"/>
        <w:gridCol w:w="109"/>
        <w:gridCol w:w="584"/>
        <w:gridCol w:w="406"/>
        <w:gridCol w:w="407"/>
        <w:gridCol w:w="109"/>
        <w:gridCol w:w="109"/>
        <w:gridCol w:w="109"/>
        <w:gridCol w:w="211"/>
        <w:gridCol w:w="1186"/>
        <w:gridCol w:w="109"/>
        <w:gridCol w:w="109"/>
        <w:gridCol w:w="109"/>
        <w:gridCol w:w="109"/>
        <w:gridCol w:w="211"/>
        <w:gridCol w:w="1186"/>
        <w:gridCol w:w="160"/>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Issued and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issuance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Value</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3.73744 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14,894,446 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5,729,934 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20,467,055 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E-1</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12,948,713 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E-2</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59,999,943 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117,255,538 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dividends are declared by the Board of Directors on the common stock (except dividends on common stock payable in additional shares of common stock), the holders of the Preferred Stock shall be entitled to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4"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receive a dividend per share on the Preferred Stock, as applicable, pro rata with the shares of common stock, as if such shares of Preferred Stock had been converted to shares of common stock, assuming for this purpose only that shares of redeemable convertible preferred stock are convertible into fractional shares, at the record date for the determination of stockholders entitled to such dividends. The right to receive dividends on shares of redeemable convertible preferred stock is non-cumulative, and no right to such dividends accrues to holders of redeemable convertible preferred stock by reason of the fact that dividends on such shares are not declared or paid in any years. For the years ended December 31, 2025 and 2024, no dividends had been declared or paid.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Liquidation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 or in the event of a deemed liquidation event (as defined below) the holders of Preferred Stock are entitled to liquidation preferences.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 of liquidation preferences rights to preferred stockholders are in the order of: first, the Series F redeemable convertible preferred stock, then the Series E-2 and Series E-1 redeemable convertible preferred stock, then the Series D redeemable convertible preferred stock, then the Series C redeemable convertible preferred stock, then the Series B and A redeemable convertible preferred stock. The liquidation values for the Series F, Series E-2, Series E-1, Series D, and Series C redeemable convertible preferred stock are equivalent to an amount equal to the respective original issue price per share, adjusted for any recapitalization, stock split and the like, plus any dividends declared but unpaid thereon. The liquidation values for the Series B and Series A redeemable convertible preferred stock are equivalent the greater of (i) an amount equal to 1.2 multiplied by the respective original issue price per share, adjusted for any recapitalization, stock split and the like, plus any dividends declared but unpaid thereon, or (ii) such amount per share as would have been payable had all shares of Series B and Series A redeemable convertible preferred stock been converted into common stock immediately prior to such liquidation, dissolution or winding up. The remaining assets, if any, shall be distributed among the holders of the shares of common stock, Series C Preferred Stock, Series D Preferred Stock, Series E-1 Preferred Stock, Series E-2 Preferred Stock, and Series F Preferred Stock, pro rata based on the number of shares held by each such holder, treating for this purpose all such securities as if they had been converted to common stock pursuant to the terms of the Amended and Restated Certificate of Incorporation immediately prior to such liquidation, dissolution or winding up of the Corporation, or deemed liquidation event.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upon the liquidation, dissolution, winding up of the Company, or deemed liquidation event, the assets of the Company legally available for distribution to the holders of the Preferred Stock are insufficient to permit the payment to such holders of the full liquidation preferences to which they are entitled, then the holders of the Company’s common stock will receive nothing in respect of their equity holdings in the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deemed liquidation event is defined as a merger or consolidation of the Company that results in a change of control, or the sale, lease, transfer, exclusive license, or other disposition of substantially all of the assets of the Company to another entity that is less than a wholly owned subsidiary, unless the holders of at least a majority of the outstanding shares of Preferred Stock, voting together as a single class and on an as converted to common stock basis, and the holders of at least a majority of the outstanding shares of Series F, voting exclusively and as a separate class, elect otherwise by written notice sent to the Company prior to the effective date of any such event.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Conversion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share of Preferred Stock is convertible at the option of the holder and at any time into common stock as determined by dividing the applicable original issue price by the applicable Conversion Price. Conversion Price is defined as initially the applicable original issue price for the applicable series of Preferred Stock, subject to certain adjustments in the event of any recapitalizations, stock splits and the like, and for certain subsequent dilutive issuances of common stock or deemed dilutive issuances of common stock, at a price per share less than the then applicable conversion prices of the Preferred Stock. Each share of each series of Preferred Stock was convertible into shares of common stock on a 1:3.483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the Preferred Stock shall automatically be converted into fully paid and nonassessable shares of common stock at the above then-effective respective conversion price upon, 1) the closing of a sale of shares of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5"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common stock to the public at a price of at least $5.2634 per share (subject to appropriate adjustment in the event of any stock dividend, stock split, combination or other similar recapitalization with respect to common stock), in a firm-commitment underwritten public offering pursuant to an effective registration statement under the Securities Act of 1933, as amended, resulting in at least $75,000,000 of gross proceeds to the Company, before deductions of underwriting discounts, commissions, and expenses or, 2) the date and time, or the occurrence of an event, specified by vote or written consent of (x) the holders of at least a majority of the outstanding shares of Preferred Stock, voting together as a single class and on an as converted to common stock basis, and (y) the holders of at least a majority of the outstanding shares of Series F, voting exclusively and as a separate class.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each share of Preferred Stock are entitled to one vote for each share of common stock into which it could be converted on all matters presented to the shareholders for vote.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Redeemable Convertible Preferred Stock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908,000 warrants for Series B redeemable convertible preferred stock (“Series B Preferred Warrants”) outstanding, respectively. These warrants were issued during 2012 and 2013 in connection with the issuances of Series B redeemable convertible preferred stock. In addition, as of December 31, 2025 and 2024, the Company had 258,000 warrants for Series D redeemable convertible preferred stock (“Series D Preferred Warrants”) outstanding. These warrants were issued in connection with the promissory notes issued in 2017 which were exercised and converted to shares of Series D preferred stock in 2017.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12 –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March 2025, the Company’s Board of Directors amended and restated the Company’s Certificate of Incorporation to increase the number of authorized shares of common stock to 86,600,000 shares at $0.01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 Share-Based Compensation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15, 2022, the Board of Directors approved the Corporation’s 2022 Equity Incentive Plan (the 2022 Plan) providing for the grants of non-qualified stock options, incentive stock options and other stock-based awards up to an aggregate of 7,575,181 shares of common stock, $0.01 par value per share. This consisted of the available reserve from the 2007 Equity Incentive Plan (the 2007 Plan) plus all returned shares. The 2022 Plan serves as the successor to and continuation of the 2007 Plan, and all options that were granted under the 2007 Plan (unless forfeited, exercised or expired) remained outstanding as of December 31, 2022. Awards issued under the 2007 Plan remain subject to the terms of the 2007 Plan, and unissued authorized 2007 shares became available under the 2022 Plan. No issued 2007 Plan awards were converted. The 2007 Plan contained an antidilution provision. Following a 1,000-for-1 common stock split in June 2022, the number of option shares for prior periods was retrospectively adjusted to reflect the split. No other terms of these existing awards were changed except for the number of option shares and the exercise price to reflect the stock split. Because the modification did not result in incremental fair value under ASC 718, no additional compensation expense was recognized in 2022.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2022 Plan, stock options generally vest and become exercisable in respect of 25% of the total number of Shares initially subject to the Options on the first anniversary of the Vesting Commencement Date, and in respect of 1/48th of the total number of Shares initially subject to the Option on each monthly anniversary of the Vesting Commencement Date thereafter, so that 100% of the Shares subject to the Option shall be vested on the fourth anniversary of the Vesting Commencement Date, in each case, subject to the Optionee remaining as a Service Provider (as defined in the Plan) through the applicable vesting date. Certain awards may vest immediately upon grant or may be subject to performance-based vesting conditions, as determined by the Board of Directors. During the year ended 2025, the Company granted two executive awards that include performance-based vesting conditions which are immaterial. The Board of Directors administers the 2022 Plan and determines the exercise prices of options based on the fair value of the Company’s common stock as determined by an independent valuation, in certain instances, options have been granted with an exercise price in excess of fair market value at the date of grant.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6"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market value of stock options was estimated using the Black-Scholes valuation model. Since the Company does not have sufficient trading history of its common stock, it estimates the expected volatility of its stock options at their grant date by taking the weighted average historical volatility of a group of comparable publicly traded companies over a period of time equal to the expected life of the options. The Company uses the simplified method to calculate the expected term and contractual terms. Under the simplified method, the expected life is equal to the average of the share-based award’s weighted average vesting period and its contractual term. The risk-free interest rate is determined by reference to the U.S. Treasury yield curve in effect at the time of grant of the award for time periods approximately equal to the expected term of the award. There were no expected dividends. The following assumptions were used in estimating the fair value of option grants issue in 2025 and 2024:</w:t>
      </w:r>
    </w:p>
    <w:tbl>
      <w:tblPr>
        <w:tblW w:w="5334" w:type="dxa"/>
        <w:jc w:val="left"/>
        <w:tblInd w:w="0" w:type="dxa"/>
        <w:tblLayout w:type="fixed"/>
        <w:tblCellMar>
          <w:top w:w="28" w:type="dxa"/>
          <w:left w:w="28" w:type="dxa"/>
          <w:bottom w:w="28" w:type="dxa"/>
          <w:right w:w="28" w:type="dxa"/>
        </w:tblCellMar>
      </w:tblPr>
      <w:tblGrid>
        <w:gridCol w:w="755"/>
        <w:gridCol w:w="663"/>
        <w:gridCol w:w="666"/>
        <w:gridCol w:w="476"/>
        <w:gridCol w:w="476"/>
        <w:gridCol w:w="487"/>
        <w:gridCol w:w="109"/>
        <w:gridCol w:w="109"/>
        <w:gridCol w:w="109"/>
        <w:gridCol w:w="432"/>
        <w:gridCol w:w="432"/>
        <w:gridCol w:w="620"/>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 6.1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 — 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49.5% — 51.0%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 —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 4.7%</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pPr>
      <w:r>
        <w:rPr>
          <w:rFonts w:ascii="Times New Roman;serif" w:hAnsi="Times New Roman;serif"/>
          <w:b/>
          <w:color w:val="000000"/>
          <w:sz w:val="20"/>
        </w:rPr>
        <w:t xml:space="preserve">Stock options - </w:t>
      </w:r>
      <w:r>
        <w:rPr>
          <w:rFonts w:ascii="Times New Roman;serif" w:hAnsi="Times New Roman;serif"/>
          <w:b w:val="false"/>
          <w:color w:val="000000"/>
          <w:sz w:val="20"/>
        </w:rPr>
        <w:t>A summary of officer, employee, and non-employee options granted and outstanding, under the 2007 and 2022 Plans are presented below:</w:t>
      </w:r>
    </w:p>
    <w:tbl>
      <w:tblPr>
        <w:tblW w:w="10205" w:type="dxa"/>
        <w:jc w:val="left"/>
        <w:tblInd w:w="0" w:type="dxa"/>
        <w:tblLayout w:type="fixed"/>
        <w:tblCellMar>
          <w:top w:w="28" w:type="dxa"/>
          <w:left w:w="28" w:type="dxa"/>
          <w:bottom w:w="28" w:type="dxa"/>
          <w:right w:w="28" w:type="dxa"/>
        </w:tblCellMar>
      </w:tblPr>
      <w:tblGrid>
        <w:gridCol w:w="866"/>
        <w:gridCol w:w="601"/>
        <w:gridCol w:w="605"/>
        <w:gridCol w:w="480"/>
        <w:gridCol w:w="328"/>
        <w:gridCol w:w="329"/>
        <w:gridCol w:w="109"/>
        <w:gridCol w:w="109"/>
        <w:gridCol w:w="109"/>
        <w:gridCol w:w="477"/>
        <w:gridCol w:w="1156"/>
        <w:gridCol w:w="248"/>
        <w:gridCol w:w="109"/>
        <w:gridCol w:w="109"/>
        <w:gridCol w:w="109"/>
        <w:gridCol w:w="845"/>
        <w:gridCol w:w="845"/>
        <w:gridCol w:w="847"/>
        <w:gridCol w:w="109"/>
        <w:gridCol w:w="109"/>
        <w:gridCol w:w="109"/>
        <w:gridCol w:w="250"/>
        <w:gridCol w:w="1157"/>
        <w:gridCol w:w="190"/>
      </w:tblGrid>
      <w:tr>
        <w:trPr/>
        <w:tc>
          <w:tcPr>
            <w:tcW w:w="8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2024</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665,396 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Cancelled, or Expired</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1,069,594 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43" w:after="20"/>
              <w:jc w:val="right"/>
              <w:rPr/>
            </w:pPr>
            <w:r>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Cancelled, or Expired</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11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r>
    </w:tbl>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7"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information about stock options outstanding as of December 31, 2025: </w:t>
      </w:r>
    </w:p>
    <w:tbl>
      <w:tblPr>
        <w:tblW w:w="10205" w:type="dxa"/>
        <w:jc w:val="left"/>
        <w:tblInd w:w="0" w:type="dxa"/>
        <w:tblLayout w:type="fixed"/>
        <w:tblCellMar>
          <w:top w:w="28" w:type="dxa"/>
          <w:left w:w="28" w:type="dxa"/>
          <w:bottom w:w="28" w:type="dxa"/>
          <w:right w:w="28" w:type="dxa"/>
        </w:tblCellMar>
      </w:tblPr>
      <w:tblGrid>
        <w:gridCol w:w="244"/>
        <w:gridCol w:w="554"/>
        <w:gridCol w:w="118"/>
        <w:gridCol w:w="109"/>
        <w:gridCol w:w="109"/>
        <w:gridCol w:w="109"/>
        <w:gridCol w:w="469"/>
        <w:gridCol w:w="291"/>
        <w:gridCol w:w="292"/>
        <w:gridCol w:w="109"/>
        <w:gridCol w:w="109"/>
        <w:gridCol w:w="109"/>
        <w:gridCol w:w="445"/>
        <w:gridCol w:w="1080"/>
        <w:gridCol w:w="231"/>
        <w:gridCol w:w="109"/>
        <w:gridCol w:w="109"/>
        <w:gridCol w:w="109"/>
        <w:gridCol w:w="666"/>
        <w:gridCol w:w="666"/>
        <w:gridCol w:w="668"/>
        <w:gridCol w:w="109"/>
        <w:gridCol w:w="109"/>
        <w:gridCol w:w="109"/>
        <w:gridCol w:w="469"/>
        <w:gridCol w:w="291"/>
        <w:gridCol w:w="292"/>
        <w:gridCol w:w="109"/>
        <w:gridCol w:w="109"/>
        <w:gridCol w:w="109"/>
        <w:gridCol w:w="430"/>
        <w:gridCol w:w="1042"/>
        <w:gridCol w:w="322"/>
      </w:tblGrid>
      <w:tr>
        <w:trPr/>
        <w:tc>
          <w:tcPr>
            <w:tcW w:w="24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Vested</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r>
      <w:tr>
        <w:trPr/>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stock options outstanding as of December 31, 2024:</w:t>
      </w:r>
    </w:p>
    <w:tbl>
      <w:tblPr>
        <w:tblW w:w="10205" w:type="dxa"/>
        <w:jc w:val="left"/>
        <w:tblInd w:w="0" w:type="dxa"/>
        <w:tblLayout w:type="fixed"/>
        <w:tblCellMar>
          <w:top w:w="28" w:type="dxa"/>
          <w:left w:w="28" w:type="dxa"/>
          <w:bottom w:w="28" w:type="dxa"/>
          <w:right w:w="28" w:type="dxa"/>
        </w:tblCellMar>
      </w:tblPr>
      <w:tblGrid>
        <w:gridCol w:w="245"/>
        <w:gridCol w:w="556"/>
        <w:gridCol w:w="118"/>
        <w:gridCol w:w="109"/>
        <w:gridCol w:w="109"/>
        <w:gridCol w:w="109"/>
        <w:gridCol w:w="469"/>
        <w:gridCol w:w="291"/>
        <w:gridCol w:w="292"/>
        <w:gridCol w:w="109"/>
        <w:gridCol w:w="109"/>
        <w:gridCol w:w="109"/>
        <w:gridCol w:w="445"/>
        <w:gridCol w:w="1079"/>
        <w:gridCol w:w="231"/>
        <w:gridCol w:w="109"/>
        <w:gridCol w:w="109"/>
        <w:gridCol w:w="109"/>
        <w:gridCol w:w="666"/>
        <w:gridCol w:w="666"/>
        <w:gridCol w:w="667"/>
        <w:gridCol w:w="109"/>
        <w:gridCol w:w="109"/>
        <w:gridCol w:w="109"/>
        <w:gridCol w:w="469"/>
        <w:gridCol w:w="291"/>
        <w:gridCol w:w="292"/>
        <w:gridCol w:w="109"/>
        <w:gridCol w:w="109"/>
        <w:gridCol w:w="109"/>
        <w:gridCol w:w="430"/>
        <w:gridCol w:w="1041"/>
        <w:gridCol w:w="322"/>
      </w:tblGrid>
      <w:tr>
        <w:trPr/>
        <w:tc>
          <w:tcPr>
            <w:tcW w:w="2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Vested</w:t>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r>
      <w:tr>
        <w:trPr/>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is calculated as the difference between the exercise price of the underlying stock options and the fair value of the Company’s common stock for stock options that were in-the-money at period end. The aggregate intrinsic value of options exercisable at December 31, 2025, was $1,111,740. The aggregate intrinsic value of all options exercised during the year ended December 31, 2025 was $91,655. The total fair value of options vested during the year ended December 31, 2025 was $1,125,864. The options granted during the year ended December 31, 2025 had a weighted average grant date fair value of $2.01. The options forfeited during the year ended December 31, 2025 had a weighted average grant date fair value of $1.81. The total compensation cost related to non-vested stock options to be recognized in the future was $4,051,822 over a weighted-average period of approximately 2.9 years at December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of options exercisable at December 31, 2024, was $708,758. The aggregate intrinsic value of all options exercised during the year ended December 31, 2024 was $275,850. The total fair value of options vested during the year ended December 31, 2024 was $840,253. The options granted during the year ended December 31, 2024 had a weighted average grant date fair value of $1.71. The options forfeited during the year ended December 31, 2024 had a weighted average grant date fair value of $1.65. The total compensation cost </w:t>
      </w: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8"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related to non-vested stock options to be recognized in the future was $1,349,759 over a weighted-average period of approximately 2.3 years at December 31, 2024.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$1,446,702 and $758,127 of share-based compensation expense for the years ended December 31, 2025 and 2024. For the year ended December 31, 2025, $132,018 was recorded in research and development expenses and $1,314,684 was recorded in selling, general and administrative expenses. For the year ended December 31, 2024, all share-based compensation expense was recorded in selling,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14 – Net Loss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per share is calculated by dividing net loss attributable to common stockholders by the weighted-average number of shares of common stock outstanding during the period. Diluted earnings per share is calculated similarly but includes potential dilution from the exercise of stock options and stock awards and conversion of redeemable convertible preferred stock, except when the effect would be anti-dilutive. The following is a reconciliation of the numerators and denominators of the basic and diluted net loss per share computations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2452"/>
        <w:gridCol w:w="2103"/>
        <w:gridCol w:w="2055"/>
        <w:gridCol w:w="109"/>
        <w:gridCol w:w="109"/>
        <w:gridCol w:w="109"/>
        <w:gridCol w:w="211"/>
        <w:gridCol w:w="1127"/>
        <w:gridCol w:w="109"/>
        <w:gridCol w:w="109"/>
        <w:gridCol w:w="109"/>
        <w:gridCol w:w="109"/>
        <w:gridCol w:w="211"/>
        <w:gridCol w:w="1127"/>
        <w:gridCol w:w="156"/>
      </w:tblGrid>
      <w:tr>
        <w:trPr/>
        <w:tc>
          <w:tcPr>
            <w:tcW w:w="245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(24,603,014)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in basic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the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conversion of redeemable convertible preferred stock and warrants on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in diluted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 converted securities that were excluded from the diluted per share calculation because the effect of including these potential shares was anti-dilutive:</w:t>
      </w:r>
    </w:p>
    <w:tbl>
      <w:tblPr>
        <w:tblW w:w="8120" w:type="dxa"/>
        <w:jc w:val="left"/>
        <w:tblInd w:w="0" w:type="dxa"/>
        <w:tblLayout w:type="fixed"/>
        <w:tblCellMar>
          <w:top w:w="28" w:type="dxa"/>
          <w:left w:w="28" w:type="dxa"/>
          <w:bottom w:w="28" w:type="dxa"/>
          <w:right w:w="28" w:type="dxa"/>
        </w:tblCellMar>
      </w:tblPr>
      <w:tblGrid>
        <w:gridCol w:w="1789"/>
        <w:gridCol w:w="1568"/>
        <w:gridCol w:w="1578"/>
        <w:gridCol w:w="109"/>
        <w:gridCol w:w="109"/>
        <w:gridCol w:w="109"/>
        <w:gridCol w:w="540"/>
        <w:gridCol w:w="541"/>
        <w:gridCol w:w="156"/>
        <w:gridCol w:w="109"/>
        <w:gridCol w:w="109"/>
        <w:gridCol w:w="109"/>
        <w:gridCol w:w="540"/>
        <w:gridCol w:w="54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C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D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E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the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2,090,029 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23,242,610 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14,195,117 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9"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15 – Commitments and Contingencies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a party to claims, legal actions, and complaints arising in the ordinary course of business. Management is not aware of any such matters which would have a material effect on its financial positions, results of operations, or cash flows. The Company relies on third-party manufacturers for the production of its IPGs and stimulation leads. Certain of these arrangements include non-cancelable purchase commitments and binding forecast obligations. The Company issues purchase orders based on production requirements, which are generally non-cancelable once accepted by the supplier. As of December 31, 2025 and 2024, the Company had outstanding non-cancelable purchase orders totaling approximately $7.1 million and $5.9 million, respectively. The December 31, 2025 purchase orders are expected to be fulfilled during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September 2024, the Company entered into an updated IPG supply agreement that expanded the scope of its supply arrangements with the third-party manufacturer. The agreement includes minimum annual purchase commitments over a five-year period commencing upon the first commercial shipment of product under the agreement. The first commercial shipment is currently expected to occur in 2028. The agreement also requires the Company to provide rolling twelve-month forecasts, portions of which may become binding. As of December 31, 2025, no binding forecast commitments had been established under this agreement. The aggregate minimum purchase obligation over the five-year commitment period totals approximately $5.8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16 – Segment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measure of segment profit or loss is net loss, which is used by the CODM to measure actual results versus expectations, set performance metrics, and during the Company’s budgeting and forecasting process to assess profitability and enable decision making. Significant segment expenses within net loss include cost of goods sold, research and development, and selling, general and administrative expenses. The only segment assets regularly reviewed by the CODM is cash and cash equivalents, which is reported on the balance sheets. No sales to an individual customer accounted for more than 10% of the Company’s total revenue for the years ended December 31, 2025 and 2024.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reevaluated the financial information regularly provided to and reviewed by the CODM for purposes of assessing segment performance and allocating resources. As a result of this evaluation, the Company determined that sales and marketing, a previously disclosed significant segment expense category, is no longer separately reviewed by the CODM and is now evaluated together with general and administrative expenses. Accordingly, the Company has reflected this change within the current period presentation and the prior-period segment disclosures have been recast to conform to the current period presentation. This change reflects an update to the internal management reporting package and does not represent a change in the Company’s single operating and reportable segment, or measurement of segment profit or loss.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representative of revenue and significant segment expense categories regularly provided to the CODM for purposes of managing the Company’s single operating and reportable segment for the years ended December 31, 2025 and 2024. Segment revenue and net loss are consistent with the statements of operations.</w:t>
      </w:r>
    </w:p>
    <w:tbl>
      <w:tblPr>
        <w:tblW w:w="7223" w:type="dxa"/>
        <w:jc w:val="left"/>
        <w:tblInd w:w="0" w:type="dxa"/>
        <w:tblLayout w:type="fixed"/>
        <w:tblCellMar>
          <w:top w:w="28" w:type="dxa"/>
          <w:left w:w="28" w:type="dxa"/>
          <w:bottom w:w="28" w:type="dxa"/>
          <w:right w:w="28" w:type="dxa"/>
        </w:tblCellMar>
      </w:tblPr>
      <w:tblGrid>
        <w:gridCol w:w="1410"/>
        <w:gridCol w:w="1242"/>
        <w:gridCol w:w="1247"/>
        <w:gridCol w:w="211"/>
        <w:gridCol w:w="1156"/>
        <w:gridCol w:w="109"/>
        <w:gridCol w:w="109"/>
        <w:gridCol w:w="109"/>
        <w:gridCol w:w="109"/>
        <w:gridCol w:w="211"/>
        <w:gridCol w:w="115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(1)</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65,827,675 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r>
              <w:rPr>
                <w:color w:val="000000"/>
              </w:rPr>
              <w:t xml:space="preserv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(24,603,014)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(1)Selling, general and administrative expenses include depreciation and amortization expense of $151,657 and $116,010 as of December 31, 2025 and 2024, respectively.</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(2)Other segment items are comprised of interest expense, other income, net, and provision for income taxes, as shown on the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a2e66dfc1442ddbd3162dbb5bf73c2_500">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0"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Mobia Medical, Inc. </w:t>
              <w:br/>
              <w:t>Notes to Financial Statements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17 – Employee Benefit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401(k) retirement plan covering substantially all employees. The Company makes matching contributions of 4% of an employee’s annual compensation, subject to certain limitations under the Internal Revenue Code. During 2025 and 2024, matching contributions of $1,008,202 and $563,668, respectively, were made to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18 – Subsequent Events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events are events or transactions that occur after the date of the financial statements but before the financial statements are issued. The Company recognizes in the financial statements the effects of all subsequent events that provide additional evidence about conditions that existed at the date of the balance sheet, including the estimates inherent in the process of preparing the financial statements. The Company does not recognize subsequent events that provide evidence about conditions that did not exist at the date of the balance sheet and issuance of the financial statements. Subsequent events have been evaluated as of March 11, 2026, which is the date the financial statements were available to be issued.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January 2026, the Company entered into a Note Purchase Agreement with certain investors pursuant to which the Company issued convertible promissory notes in an aggregate principal amount of approximately $27.3 million at the initial closing. The notes bear payment-in-kind interest at a rate of 7.0% per annum and are convertible into equity securities of the Company upon the occurrence of certain events, including a qualified financing, change in control, or initial public offering. The agreement permits the Company to issue additional notes for total aggregate proceeds of up to $40 million. During February 2026 the Company issued additional notes of $12.7 million, for a total outstanding principal of $40 million. The Company has concluded that the issuance of the convertible promissory notes represents a nonrecognized subsequent event under ASC 855. Accordingly, no amounts related to this transaction have been reflected in the accompanying financial statements as of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Subsequent to Original Issuance of Financial Statements (Unaudited)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reissuance of these financial statements, the Company has evaluated subsequent events through May 4, 2026, the date the financial statements were available to be reissued.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1"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900"/>
        <w:jc w:val="left"/>
        <w:rPr>
          <w:rFonts w:ascii="Times New Roman;serif" w:hAnsi="Times New Roman;serif"/>
          <w:b w:val="false"/>
          <w:color w:val="000000"/>
          <w:sz w:val="20"/>
        </w:rPr>
      </w:pPr>
      <w:r>
        <w:rPr>
          <w:rFonts w:ascii="Times New Roman;serif" w:hAnsi="Times New Roman;serif"/>
          <w:b w:val="false"/>
          <w:color w:val="000000"/>
          <w:sz w:val="20"/>
        </w:rPr>
        <w:t>Through and including June 1, 2026 (the 25th day after the date of this prospectus), all dealers effecting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pStyle w:val="TextBody"/>
        <w:bidi w:val="0"/>
        <w:spacing w:lineRule="auto" w:line="288" w:before="0" w:after="600"/>
        <w:jc w:val="center"/>
        <w:rPr>
          <w:rFonts w:ascii="Times New Roman;serif" w:hAnsi="Times New Roman;serif"/>
          <w:b/>
          <w:color w:val="000000"/>
          <w:sz w:val="28"/>
        </w:rPr>
      </w:pPr>
      <w:r>
        <w:rPr>
          <w:rFonts w:ascii="Times New Roman;serif" w:hAnsi="Times New Roman;serif"/>
          <w:b/>
          <w:color w:val="000000"/>
          <w:sz w:val="28"/>
        </w:rPr>
        <w:t>10,000,000 Shares</w:t>
      </w:r>
    </w:p>
    <w:p>
      <w:pPr>
        <w:pStyle w:val="TextBody"/>
        <w:bidi w:val="0"/>
        <w:spacing w:before="0" w:after="360"/>
        <w:jc w:val="center"/>
        <w:rPr/>
      </w:pPr>
      <w:r>
        <w:rPr/>
        <w:drawing>
          <wp:inline distT="0" distB="0" distL="0" distR="0">
            <wp:extent cx="3657600" cy="866775"/>
            <wp:effectExtent l="0" t="0" r="0" b="0"/>
            <wp:docPr id="24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1" descr=""/>
                    <pic:cNvPicPr>
                      <a:picLocks noChangeAspect="1" noChangeArrowheads="1"/>
                    </pic:cNvPicPr>
                  </pic:nvPicPr>
                  <pic:blipFill>
                    <a:blip r:embed="rId12"/>
                    <a:stretch>
                      <a:fillRect/>
                    </a:stretch>
                  </pic:blipFill>
                  <pic:spPr bwMode="auto">
                    <a:xfrm>
                      <a:off x="0" y="0"/>
                      <a:ext cx="3657600" cy="866775"/>
                    </a:xfrm>
                    <a:prstGeom prst="rect">
                      <a:avLst/>
                    </a:prstGeom>
                  </pic:spPr>
                </pic:pic>
              </a:graphicData>
            </a:graphic>
          </wp:inline>
        </w:drawing>
      </w:r>
    </w:p>
    <w:p>
      <w:pPr>
        <w:pStyle w:val="TextBody"/>
        <w:bidi w:val="0"/>
        <w:spacing w:lineRule="auto" w:line="288" w:before="0" w:after="102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before="0" w:after="0"/>
        <w:jc w:val="center"/>
        <w:rPr/>
      </w:pPr>
      <w:r>
        <w:rPr/>
      </w:r>
    </w:p>
    <w:tbl>
      <w:tblPr>
        <w:tblW w:w="2039" w:type="dxa"/>
        <w:jc w:val="left"/>
        <w:tblInd w:w="0" w:type="dxa"/>
        <w:tblLayout w:type="fixed"/>
        <w:tblCellMar>
          <w:top w:w="28" w:type="dxa"/>
          <w:left w:w="28" w:type="dxa"/>
          <w:bottom w:w="28" w:type="dxa"/>
          <w:right w:w="28" w:type="dxa"/>
        </w:tblCellMar>
      </w:tblPr>
      <w:tblGrid>
        <w:gridCol w:w="653"/>
        <w:gridCol w:w="574"/>
        <w:gridCol w:w="812"/>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BofA Securities</w:t>
            </w:r>
          </w:p>
        </w:tc>
      </w:tr>
    </w:tbl>
    <w:tbl>
      <w:tblPr>
        <w:tblW w:w="1724" w:type="dxa"/>
        <w:jc w:val="left"/>
        <w:tblInd w:w="0" w:type="dxa"/>
        <w:tblLayout w:type="fixed"/>
        <w:tblCellMar>
          <w:top w:w="28" w:type="dxa"/>
          <w:left w:w="28" w:type="dxa"/>
          <w:bottom w:w="28" w:type="dxa"/>
          <w:right w:w="28" w:type="dxa"/>
        </w:tblCellMar>
      </w:tblPr>
      <w:tblGrid>
        <w:gridCol w:w="552"/>
        <w:gridCol w:w="484"/>
        <w:gridCol w:w="688"/>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J.P. Morgan</w:t>
            </w:r>
          </w:p>
        </w:tc>
      </w:tr>
    </w:tbl>
    <w:tbl>
      <w:tblPr>
        <w:tblW w:w="3614" w:type="dxa"/>
        <w:jc w:val="left"/>
        <w:tblInd w:w="0" w:type="dxa"/>
        <w:tblLayout w:type="fixed"/>
        <w:tblCellMar>
          <w:top w:w="28" w:type="dxa"/>
          <w:left w:w="28" w:type="dxa"/>
          <w:bottom w:w="28" w:type="dxa"/>
          <w:right w:w="28" w:type="dxa"/>
        </w:tblCellMar>
      </w:tblPr>
      <w:tblGrid>
        <w:gridCol w:w="1158"/>
        <w:gridCol w:w="1017"/>
        <w:gridCol w:w="1439"/>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Goldman Sachs &amp; Co. LLC</w:t>
            </w:r>
          </w:p>
        </w:tc>
      </w:tr>
    </w:tbl>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BTIG</w:t>
            </w:r>
          </w:p>
        </w:tc>
      </w:tr>
    </w:tbl>
    <w:tbl>
      <w:tblPr>
        <w:tblW w:w="3194" w:type="dxa"/>
        <w:jc w:val="left"/>
        <w:tblInd w:w="0" w:type="dxa"/>
        <w:tblLayout w:type="fixed"/>
        <w:tblCellMar>
          <w:top w:w="28" w:type="dxa"/>
          <w:left w:w="28" w:type="dxa"/>
          <w:bottom w:w="28" w:type="dxa"/>
          <w:right w:w="28" w:type="dxa"/>
        </w:tblCellMar>
      </w:tblPr>
      <w:tblGrid>
        <w:gridCol w:w="1023"/>
        <w:gridCol w:w="899"/>
        <w:gridCol w:w="1272"/>
      </w:tblGrid>
      <w:tr>
        <w:trPr/>
        <w:tc>
          <w:tcPr>
            <w:tcW w:w="10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8"/>
              </w:rPr>
            </w:pPr>
            <w:r>
              <w:rPr>
                <w:rFonts w:ascii="Times New Roman;serif" w:hAnsi="Times New Roman;serif"/>
                <w:b/>
                <w:color w:val="000000"/>
                <w:sz w:val="28"/>
              </w:rPr>
              <w:t>Wolfe | Nomura Alliance</w:t>
            </w:r>
          </w:p>
        </w:tc>
      </w:tr>
    </w:tbl>
    <w:p>
      <w:pPr>
        <w:pStyle w:val="TextBody"/>
        <w:bidi w:val="0"/>
        <w:spacing w:lineRule="auto" w:line="288" w:before="0" w:after="720"/>
        <w:jc w:val="center"/>
        <w:rPr>
          <w:rFonts w:ascii="Times New Roman;serif" w:hAnsi="Times New Roman;serif"/>
          <w:b/>
          <w:color w:val="000000"/>
          <w:sz w:val="20"/>
        </w:rPr>
      </w:pPr>
      <w:r>
        <w:rPr>
          <w:rFonts w:ascii="Times New Roman;serif" w:hAnsi="Times New Roman;serif"/>
          <w:b/>
          <w:color w:val="000000"/>
          <w:sz w:val="20"/>
        </w:rPr>
        <w:t>May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232</Pages>
  <Words>146419</Words>
  <Characters>814200</Characters>
  <CharactersWithSpaces>957549</CharactersWithSpaces>
  <Paragraphs>5312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