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Curnes Nelson Bunker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2802 FLINTROCK TRACE, SUITE 226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Mobia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MOBI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66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7"/>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20" w:type="dxa"/>
            <w:vAlign w:val="bottom"/>
            <w:gridSpan w:val="7"/>
            <w:vMerge w:val="continue"/>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78738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20" w:type="dxa"/>
            <w:vAlign w:val="bottom"/>
            <w:gridSpan w:val="6"/>
          </w:tcPr>
          <w:p>
            <w:pPr>
              <w:ind w:left="4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2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6.</w:t>
            </w:r>
          </w:p>
        </w:tc>
        <w:tc>
          <w:tcPr>
            <w:tcW w:w="15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220" w:type="dxa"/>
            <w:vAlign w:val="bottom"/>
            <w:gridSpan w:val="4"/>
          </w:tcPr>
          <w:p>
            <w:pPr>
              <w:jc w:val="center"/>
              <w:ind w:right="3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15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vMerge w:val="restart"/>
          </w:tcPr>
          <w:p>
            <w:pPr>
              <w:ind w:left="18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Exceller Hunt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0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02/23/2026</w:t>
            </w:r>
            <w:r>
              <w:rPr>
                <w:rFonts w:ascii="Times New Roman" w:cs="Times New Roman" w:eastAsia="Times New Roman" w:hAnsi="Times New Roman"/>
                <w:sz w:val="22"/>
                <w:szCs w:val="22"/>
                <w:color w:val="008000"/>
                <w:w w:val="97"/>
                <w:vertAlign w:val="superscript"/>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1"/>
                <w:szCs w:val="11"/>
                <w:color w:val="008000"/>
                <w:w w:val="94"/>
              </w:rPr>
              <w:t>(2)</w:t>
            </w:r>
          </w:p>
        </w:tc>
        <w:tc>
          <w:tcPr>
            <w:tcW w:w="340" w:type="dxa"/>
            <w:vAlign w:val="bottom"/>
          </w:tcPr>
          <w:p>
            <w:pPr>
              <w:spacing w:after="0"/>
              <w:rPr>
                <w:sz w:val="18"/>
                <w:szCs w:val="18"/>
                <w:color w:val="auto"/>
              </w:rPr>
            </w:pPr>
          </w:p>
        </w:tc>
        <w:tc>
          <w:tcPr>
            <w:tcW w:w="7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0000FF"/>
              </w:rPr>
              <w:t>249,750</w:t>
            </w:r>
          </w:p>
        </w:tc>
        <w:tc>
          <w:tcPr>
            <w:tcW w:w="46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18"/>
                <w:szCs w:val="18"/>
                <w:color w:val="auto"/>
              </w:rPr>
            </w:pPr>
          </w:p>
        </w:tc>
        <w:tc>
          <w:tcPr>
            <w:tcW w:w="720" w:type="dxa"/>
            <w:vAlign w:val="bottom"/>
          </w:tcPr>
          <w:p>
            <w:pPr>
              <w:jc w:val="center"/>
              <w:ind w:right="15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9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rPr>
              <w:t>560,068</w:t>
            </w:r>
          </w:p>
        </w:tc>
        <w:tc>
          <w:tcPr>
            <w:tcW w:w="96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Microtransponder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2017, LP</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02/23/2026</w:t>
            </w:r>
            <w:r>
              <w:rPr>
                <w:rFonts w:ascii="Times New Roman" w:cs="Times New Roman" w:eastAsia="Times New Roman" w:hAnsi="Times New Roman"/>
                <w:sz w:val="22"/>
                <w:szCs w:val="22"/>
                <w:color w:val="008000"/>
                <w:w w:val="97"/>
                <w:vertAlign w:val="superscript"/>
              </w:rPr>
              <w:t>(1)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(2)</w:t>
            </w:r>
          </w:p>
        </w:tc>
        <w:tc>
          <w:tcPr>
            <w:tcW w:w="340" w:type="dxa"/>
            <w:vAlign w:val="bottom"/>
          </w:tcPr>
          <w:p>
            <w:pPr>
              <w:spacing w:after="0"/>
              <w:rPr>
                <w:sz w:val="21"/>
                <w:szCs w:val="21"/>
                <w:color w:val="auto"/>
              </w:rPr>
            </w:pPr>
          </w:p>
        </w:tc>
        <w:tc>
          <w:tcPr>
            <w:tcW w:w="780" w:type="dxa"/>
            <w:vAlign w:val="bottom"/>
            <w:vMerge w:val="restart"/>
          </w:tcPr>
          <w:p>
            <w:pPr>
              <w:jc w:val="center"/>
              <w:ind w:left="53"/>
              <w:spacing w:after="0"/>
              <w:rPr>
                <w:sz w:val="20"/>
                <w:szCs w:val="20"/>
                <w:color w:val="auto"/>
              </w:rPr>
            </w:pPr>
            <w:r>
              <w:rPr>
                <w:rFonts w:ascii="Times New Roman" w:cs="Times New Roman" w:eastAsia="Times New Roman" w:hAnsi="Times New Roman"/>
                <w:sz w:val="17"/>
                <w:szCs w:val="17"/>
                <w:color w:val="0000FF"/>
              </w:rPr>
              <w:t>175,077</w:t>
            </w:r>
          </w:p>
        </w:tc>
        <w:tc>
          <w:tcPr>
            <w:tcW w:w="460" w:type="dxa"/>
            <w:vAlign w:val="bottom"/>
            <w:vMerge w:val="restart"/>
          </w:tcPr>
          <w:p>
            <w:pPr>
              <w:jc w:val="center"/>
              <w:ind w:left="5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1"/>
                <w:szCs w:val="21"/>
                <w:color w:val="auto"/>
              </w:rPr>
            </w:pPr>
          </w:p>
        </w:tc>
        <w:tc>
          <w:tcPr>
            <w:tcW w:w="720" w:type="dxa"/>
            <w:vAlign w:val="bottom"/>
            <w:vMerge w:val="restart"/>
          </w:tcPr>
          <w:p>
            <w:pPr>
              <w:jc w:val="center"/>
              <w:ind w:right="15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980" w:type="dxa"/>
            <w:vAlign w:val="bottom"/>
            <w:gridSpan w:val="2"/>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rPr>
              <w:t>0</w:t>
            </w:r>
          </w:p>
        </w:tc>
        <w:tc>
          <w:tcPr>
            <w:tcW w:w="960" w:type="dxa"/>
            <w:vAlign w:val="bottom"/>
            <w:vMerge w:val="restart"/>
          </w:tcPr>
          <w:p>
            <w:pPr>
              <w:jc w:val="center"/>
              <w:ind w:left="74"/>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Curnes Fund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2001</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06/09/2026</w:t>
            </w: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P</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9"/>
              </w:rPr>
              <w:t>5,000</w:t>
            </w:r>
          </w:p>
        </w:tc>
        <w:tc>
          <w:tcPr>
            <w:tcW w:w="46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rPr>
              <w:t>A</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12.7938</w:t>
            </w:r>
            <w:r>
              <w:rPr>
                <w:rFonts w:ascii="Times New Roman" w:cs="Times New Roman" w:eastAsia="Times New Roman" w:hAnsi="Times New Roman"/>
                <w:sz w:val="22"/>
                <w:szCs w:val="22"/>
                <w:color w:val="008000"/>
                <w:w w:val="97"/>
                <w:vertAlign w:val="superscript"/>
              </w:rPr>
              <w:t>(3)</w:t>
            </w:r>
          </w:p>
        </w:tc>
        <w:tc>
          <w:tcPr>
            <w:tcW w:w="980" w:type="dxa"/>
            <w:vAlign w:val="bottom"/>
            <w:tcBorders>
              <w:bottom w:val="single" w:sz="8" w:color="2C2C2C"/>
            </w:tcBorders>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6"/>
              </w:rPr>
              <w:t>366,997</w:t>
            </w:r>
            <w:r>
              <w:rPr>
                <w:rFonts w:ascii="Times New Roman" w:cs="Times New Roman" w:eastAsia="Times New Roman" w:hAnsi="Times New Roman"/>
                <w:sz w:val="22"/>
                <w:szCs w:val="22"/>
                <w:color w:val="008000"/>
                <w:w w:val="96"/>
                <w:vertAlign w:val="superscript"/>
              </w:rPr>
              <w:t>(4)</w:t>
            </w:r>
          </w:p>
        </w:tc>
        <w:tc>
          <w:tcPr>
            <w:tcW w:w="96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9"/>
              </w:rPr>
              <w:t>5,742</w:t>
            </w:r>
          </w:p>
        </w:tc>
        <w:tc>
          <w:tcPr>
            <w:tcW w:w="96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Family Trusts</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1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08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occurred prior to the Issuer's registration of a class of equity securities under Section 12 of the Securities Exchange Act of 1934, as amended, in connection with the Issuer's initial public offering and is reported pursuant to Rule 16a-2(a).</w:t>
      </w:r>
    </w:p>
    <w:p>
      <w:pPr>
        <w:spacing w:after="0" w:line="7"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Prior to the Issuer's initial public offering on May 7, 2026, the Curnes Fund 2001 and the Exceller Hunt Microtransponder 2017, LP distributed 175,077 and 249,750 shares of the Issuer's common stock, respectively, to their members (the "Distributions"). The Reporting Person received 58,359 shares of common stock in the Distributions. The Reporting Person's prior Form 3, dated May 7, 2026 and Form 4, dated May 11, 2026, inadvertently reported ownership prior to the Distributions. This Form 4 has been updated to reflect the Reporting Person's ownership following the Distributions. All shares in the Distributions remain subject to the lock-up restrictions implemented in connection with the initial public offering.</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$12.65 to $13.01. The Reporting Person undertakes to provide the Issuer, any security holder of the Issuer or the SEC Staff, upon request, full information regarding the number of shares purchased at each price within the range set forth above.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58,359 shares acquired in a pro rata distribution in kind, which was exempt from reporting pursuant to Rule 16a-13.</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Chase Leavitt, Attorney-in- </w:t>
      </w:r>
      <w:r>
        <w:rPr>
          <w:rFonts w:ascii="Times New Roman" w:cs="Times New Roman" w:eastAsia="Times New Roman" w:hAnsi="Times New Roman"/>
          <w:sz w:val="34"/>
          <w:szCs w:val="34"/>
          <w:color w:val="0000FF"/>
          <w:vertAlign w:val="subscript"/>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4944" TargetMode="External"/><Relationship Id="rId14" Type="http://schemas.openxmlformats.org/officeDocument/2006/relationships/hyperlink" Target="http://www.sec.gov/cgi-bin/browse-edgar?action=getcompany&amp;CIK=00014899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2026-06-11T18:11:55Z</dcterms:created>
  <dcterms:modified xsi:type="dcterms:W3CDTF">2026-06-11T18:11:55Z</dcterms:modified>
</cp:coreProperties>
</file>