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620395</wp:posOffset>
            </wp:positionV>
            <wp:extent cx="6180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99060</wp:posOffset>
            </wp:positionV>
            <wp:extent cx="6180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121920</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99060</wp:posOffset>
            </wp:positionV>
            <wp:extent cx="61804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MOBIA MEDICAL,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105410</wp:posOffset>
            </wp:positionV>
            <wp:extent cx="6180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327"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3380" w:type="dxa"/>
            <w:vAlign w:val="bottom"/>
          </w:tcPr>
          <w:p>
            <w:pPr>
              <w:jc w:val="center"/>
              <w:ind w:right="12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001-43275</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w w:val="98"/>
              </w:rPr>
              <w:t>20-8573833</w:t>
            </w:r>
          </w:p>
        </w:tc>
        <w:tc>
          <w:tcPr>
            <w:tcW w:w="0" w:type="dxa"/>
            <w:vAlign w:val="bottom"/>
          </w:tcPr>
          <w:p>
            <w:pPr>
              <w:spacing w:after="0"/>
              <w:rPr>
                <w:sz w:val="1"/>
                <w:szCs w:val="1"/>
                <w:color w:val="auto"/>
              </w:rPr>
            </w:pPr>
          </w:p>
        </w:tc>
      </w:tr>
      <w:tr>
        <w:trPr>
          <w:trHeight w:val="178"/>
        </w:trPr>
        <w:tc>
          <w:tcPr>
            <w:tcW w:w="3380" w:type="dxa"/>
            <w:vAlign w:val="bottom"/>
          </w:tcPr>
          <w:p>
            <w:pPr>
              <w:jc w:val="center"/>
              <w:ind w:right="12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2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80" w:type="dxa"/>
            <w:vAlign w:val="bottom"/>
          </w:tcPr>
          <w:p>
            <w:pPr>
              <w:jc w:val="center"/>
              <w:ind w:right="127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4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2802 Flintrock Trace, Suite 226</w:t>
            </w:r>
          </w:p>
        </w:tc>
        <w:tc>
          <w:tcPr>
            <w:tcW w:w="20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Austin, TX</w:t>
            </w:r>
          </w:p>
        </w:tc>
        <w:tc>
          <w:tcPr>
            <w:tcW w:w="2080" w:type="dxa"/>
            <w:vAlign w:val="bottom"/>
          </w:tcPr>
          <w:p>
            <w:pPr>
              <w:spacing w:after="0"/>
              <w:rPr>
                <w:sz w:val="18"/>
                <w:szCs w:val="18"/>
                <w:color w:val="auto"/>
              </w:rPr>
            </w:pPr>
          </w:p>
        </w:tc>
        <w:tc>
          <w:tcPr>
            <w:tcW w:w="2520" w:type="dxa"/>
            <w:vAlign w:val="bottom"/>
            <w:vMerge w:val="restart"/>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78738</w:t>
            </w:r>
          </w:p>
        </w:tc>
        <w:tc>
          <w:tcPr>
            <w:tcW w:w="0" w:type="dxa"/>
            <w:vAlign w:val="bottom"/>
          </w:tcPr>
          <w:p>
            <w:pPr>
              <w:spacing w:after="0"/>
              <w:rPr>
                <w:sz w:val="1"/>
                <w:szCs w:val="1"/>
                <w:color w:val="auto"/>
              </w:rPr>
            </w:pPr>
          </w:p>
        </w:tc>
      </w:tr>
      <w:tr>
        <w:trPr>
          <w:trHeight w:val="200"/>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8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52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(855) 628-9375</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110490</wp:posOffset>
            </wp:positionV>
            <wp:extent cx="6180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9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40" w:type="dxa"/>
            <w:vAlign w:val="bottom"/>
          </w:tcPr>
          <w:p>
            <w:pPr>
              <w:spacing w:after="0"/>
              <w:rPr>
                <w:sz w:val="19"/>
                <w:szCs w:val="19"/>
                <w:color w:val="auto"/>
              </w:rPr>
            </w:pPr>
          </w:p>
        </w:tc>
        <w:tc>
          <w:tcPr>
            <w:tcW w:w="36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MOBI</w:t>
            </w:r>
          </w:p>
        </w:tc>
        <w:tc>
          <w:tcPr>
            <w:tcW w:w="1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25"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May 11, 2026, Mobia Medical, Inc. (the “Company”) filed an amended and restated certificate of incorporation (the “Restated Certificate”) with the Secretary of State of the State of Delaware in connection with the closing of the initial public offering (the “IPO”) of shares of its common stock. The Company’s board of directors and stockholders previously approved the filing of the Restated Certificate upon the closing of the IPO.</w:t>
      </w:r>
    </w:p>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Restated Certificate amended and restated the Company’s prior amended and restated certificate of incorporation, as amended, in its entirety, to, among other things: (i) fix the authorized number of shares of common stock at 950,000,000 shares; (ii) eliminate all references to the previously existing series of preferred stock; (iii) authorize 50,000,000 shares of undesignated preferred stock that may be issued from time to time by the Company’s board of directors in one or more series; (iv) establish a classified board of directors, divided into three classes, each of whose members will serve for staggered three-year terms; (v) provide that directors may be removed from office only for cause and only upon the affirmative vote of the holders of at least two-thirds of the Company’s capital stock entitled to vote thereon; (vi) require the advance notice of nominations for election to the board of directors or for proposing matters that can be acted upon at a stockholders’ meeting in the manner provided in the Company’s bylaws then in effect; (vii) eliminate the ability of the Company’s stockholders to take action by written consent in lieu of a meeting; (viii) designate the Court of Chancery of the State of Delaware to be the sole and exclusive forum for certain actions, including, but not limited to, derivative actions, suits or proceedings brought on behalf of the Company or actions, suits or proceedings asserting claims of breach of a fiduciary duty owed by any of the Company’s directors, officers or stockholders, provided that the exclusive forum provision will not apply to actions brought to enforce any liability or duty created by the Securities Exchange Act of 1934, as amended, or any other claim for which the federal courts have exclusive jurisdiction; and (ix) designate the federal district courts of the United States of America to be the sole and exclusive forum for the resolution of any complaint asserting a cause of action arising under the Securities Act of 1933, as amended.</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made by the Restated Certificate is qualified by reference to the Restated Certificate, a copy of which is attached hereto as Exhibit 3.1 and is incorporated herein by reference.</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May 11, 2026, in connection with the closing of the IPO, the amended and restated bylaws of the Company (the “Amended and Restated Bylaws”), previously approved by the Company’s board of directors to become effective upon the effectiveness of the Restated Certificate, became effective. The Amended and Restated Bylaws amended and restated the Company’s prior amended and restated bylaws in their entirety to, among other things: (i) establish procedures relating to the presentation of stockholder proposals at stockholder meetings; (ii) establish procedures relating to the nomination of directors; and (iii) conform to the amended provisions of the Restated Certificate.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made in the Amended and Restated Bylaws is qualified by reference to the Amended and Restated Bylaws, a copy of which is attached hereto as Exhibit 3.2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10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20" w:type="dxa"/>
            <w:vAlign w:val="bottom"/>
            <w:tcBorders>
              <w:top w:val="single" w:sz="8" w:color="auto"/>
              <w:bottom w:val="single" w:sz="8" w:color="auto"/>
            </w:tcBorders>
          </w:tcPr>
          <w:p>
            <w:pPr>
              <w:jc w:val="right"/>
              <w:ind w:right="679"/>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00" w:type="dxa"/>
            <w:vAlign w:val="bottom"/>
            <w:tcBorders>
              <w:top w:val="single" w:sz="8" w:color="auto"/>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Amended and Restated Certificate of Incorporation of Mobia Medical, Inc.</w:t>
            </w:r>
          </w:p>
        </w:tc>
        <w:tc>
          <w:tcPr>
            <w:tcW w:w="47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Mobia Medical, Inc.</w:t>
            </w:r>
          </w:p>
        </w:tc>
        <w:tc>
          <w:tcPr>
            <w:tcW w:w="6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MOBIA MEDICAL, INC.</w:t>
            </w:r>
          </w:p>
        </w:tc>
      </w:tr>
      <w:tr>
        <w:trPr>
          <w:trHeight w:val="56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7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Richard Foust</w:t>
            </w:r>
          </w:p>
        </w:tc>
      </w:tr>
      <w:tr>
        <w:trPr>
          <w:trHeight w:val="218"/>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Richard Foust</w:t>
            </w:r>
          </w:p>
        </w:tc>
      </w:t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20"/>
          </w:cols>
          <w:pgMar w:left="320" w:top="141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MOBIA MEDICAL, INC.</w:t>
      </w:r>
    </w:p>
    <w:p>
      <w:pPr>
        <w:spacing w:after="0" w:line="213" w:lineRule="exact"/>
        <w:rPr>
          <w:sz w:val="20"/>
          <w:szCs w:val="20"/>
          <w:color w:val="auto"/>
        </w:rPr>
      </w:pPr>
    </w:p>
    <w:p>
      <w:pPr>
        <w:ind w:right="180" w:firstLine="648"/>
        <w:spacing w:after="0" w:line="283" w:lineRule="auto"/>
        <w:rPr>
          <w:sz w:val="20"/>
          <w:szCs w:val="20"/>
          <w:color w:val="auto"/>
        </w:rPr>
      </w:pPr>
      <w:r>
        <w:rPr>
          <w:rFonts w:ascii="Arial" w:cs="Arial" w:eastAsia="Arial" w:hAnsi="Arial"/>
          <w:sz w:val="22"/>
          <w:szCs w:val="22"/>
          <w:color w:val="auto"/>
        </w:rPr>
        <w:t>Mobia Medical, Inc.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 a corporation organized and existing under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does hereby certify as follows:</w:t>
      </w:r>
    </w:p>
    <w:p>
      <w:pPr>
        <w:spacing w:after="0" w:line="132" w:lineRule="exact"/>
        <w:rPr>
          <w:sz w:val="20"/>
          <w:szCs w:val="20"/>
          <w:color w:val="auto"/>
        </w:rPr>
      </w:pPr>
    </w:p>
    <w:p>
      <w:pPr>
        <w:ind w:firstLine="656"/>
        <w:spacing w:after="0" w:line="259" w:lineRule="auto"/>
        <w:tabs>
          <w:tab w:leader="none" w:pos="1064"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name of the Corporation is Mobia Medical, Inc. The Corporation was incorporated under the name MicroTransponder, Inc. by the filing of its original Certificate of Incorporation (the “</w:t>
      </w:r>
      <w:r>
        <w:rPr>
          <w:rFonts w:ascii="Arial" w:cs="Arial" w:eastAsia="Arial" w:hAnsi="Arial"/>
          <w:sz w:val="21"/>
          <w:szCs w:val="21"/>
          <w:b w:val="1"/>
          <w:bCs w:val="1"/>
          <w:i w:val="1"/>
          <w:iCs w:val="1"/>
          <w:color w:val="auto"/>
        </w:rPr>
        <w:t>Original Certificate</w:t>
      </w:r>
      <w:r>
        <w:rPr>
          <w:rFonts w:ascii="Arial" w:cs="Arial" w:eastAsia="Arial" w:hAnsi="Arial"/>
          <w:sz w:val="21"/>
          <w:szCs w:val="21"/>
          <w:color w:val="auto"/>
        </w:rPr>
        <w:t>”) with the Secretary of State of the State of Delaware (the “</w:t>
      </w:r>
      <w:r>
        <w:rPr>
          <w:rFonts w:ascii="Arial" w:cs="Arial" w:eastAsia="Arial" w:hAnsi="Arial"/>
          <w:sz w:val="21"/>
          <w:szCs w:val="21"/>
          <w:b w:val="1"/>
          <w:bCs w:val="1"/>
          <w:i w:val="1"/>
          <w:iCs w:val="1"/>
          <w:color w:val="auto"/>
        </w:rPr>
        <w:t>Delaware Secretary</w:t>
      </w:r>
      <w:r>
        <w:rPr>
          <w:rFonts w:ascii="Arial" w:cs="Arial" w:eastAsia="Arial" w:hAnsi="Arial"/>
          <w:sz w:val="21"/>
          <w:szCs w:val="21"/>
          <w:color w:val="auto"/>
        </w:rPr>
        <w:t>”) on March 5, 2007; the Original Certificate was amended pursuant to a Certificate of Correction (the “</w:t>
      </w:r>
      <w:r>
        <w:rPr>
          <w:rFonts w:ascii="Arial" w:cs="Arial" w:eastAsia="Arial" w:hAnsi="Arial"/>
          <w:sz w:val="21"/>
          <w:szCs w:val="21"/>
          <w:b w:val="1"/>
          <w:bCs w:val="1"/>
          <w:i w:val="1"/>
          <w:iCs w:val="1"/>
          <w:color w:val="auto"/>
        </w:rPr>
        <w:t>First Certificate of Correction</w:t>
      </w:r>
      <w:r>
        <w:rPr>
          <w:rFonts w:ascii="Arial" w:cs="Arial" w:eastAsia="Arial" w:hAnsi="Arial"/>
          <w:sz w:val="21"/>
          <w:szCs w:val="21"/>
          <w:color w:val="auto"/>
        </w:rPr>
        <w:t>”) filed with the Delaware Secretary on March 26, 2007; the Original Certificate (as amended by the First Certificate of Correction) was amended and restated pursuant to an Amended and Restated Certificate of Incorporation (the “</w:t>
      </w:r>
      <w:r>
        <w:rPr>
          <w:rFonts w:ascii="Arial" w:cs="Arial" w:eastAsia="Arial" w:hAnsi="Arial"/>
          <w:sz w:val="21"/>
          <w:szCs w:val="21"/>
          <w:b w:val="1"/>
          <w:bCs w:val="1"/>
          <w:i w:val="1"/>
          <w:iCs w:val="1"/>
          <w:color w:val="auto"/>
        </w:rPr>
        <w:t>First Restated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filed with the Delaware Secretary on February 19, 2008; the First Restated Certificate was amended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restated pursuant to an Amended and Restated Certificate of Incorporation (the “</w:t>
      </w:r>
      <w:r>
        <w:rPr>
          <w:rFonts w:ascii="Arial" w:cs="Arial" w:eastAsia="Arial" w:hAnsi="Arial"/>
          <w:sz w:val="21"/>
          <w:szCs w:val="21"/>
          <w:b w:val="1"/>
          <w:bCs w:val="1"/>
          <w:i w:val="1"/>
          <w:iCs w:val="1"/>
          <w:color w:val="auto"/>
        </w:rPr>
        <w:t>Second Restated Certificate</w:t>
      </w:r>
      <w:r>
        <w:rPr>
          <w:rFonts w:ascii="Arial" w:cs="Arial" w:eastAsia="Arial" w:hAnsi="Arial"/>
          <w:sz w:val="21"/>
          <w:szCs w:val="21"/>
          <w:color w:val="auto"/>
        </w:rPr>
        <w:t>”) filed with the Delaware Secretary on January 29, 2009; the Second Restated Certificate was amended and restated pursuant to an Amended and Restated Certificate of Incorporation (the “</w:t>
      </w:r>
      <w:r>
        <w:rPr>
          <w:rFonts w:ascii="Arial" w:cs="Arial" w:eastAsia="Arial" w:hAnsi="Arial"/>
          <w:sz w:val="21"/>
          <w:szCs w:val="21"/>
          <w:b w:val="1"/>
          <w:bCs w:val="1"/>
          <w:i w:val="1"/>
          <w:iCs w:val="1"/>
          <w:color w:val="auto"/>
        </w:rPr>
        <w:t>Third Restated Certificate</w:t>
      </w:r>
      <w:r>
        <w:rPr>
          <w:rFonts w:ascii="Arial" w:cs="Arial" w:eastAsia="Arial" w:hAnsi="Arial"/>
          <w:sz w:val="21"/>
          <w:szCs w:val="21"/>
          <w:color w:val="auto"/>
        </w:rPr>
        <w:t>”) filed with the Delaware Secretary on March 4, 2010; the Third Restated Certificate was amended pursuant to a Certificate of Correction (the “</w:t>
      </w:r>
      <w:r>
        <w:rPr>
          <w:rFonts w:ascii="Arial" w:cs="Arial" w:eastAsia="Arial" w:hAnsi="Arial"/>
          <w:sz w:val="21"/>
          <w:szCs w:val="21"/>
          <w:b w:val="1"/>
          <w:bCs w:val="1"/>
          <w:i w:val="1"/>
          <w:iCs w:val="1"/>
          <w:color w:val="auto"/>
        </w:rPr>
        <w:t>Second Certificate of Correction</w:t>
      </w:r>
      <w:r>
        <w:rPr>
          <w:rFonts w:ascii="Arial" w:cs="Arial" w:eastAsia="Arial" w:hAnsi="Arial"/>
          <w:sz w:val="21"/>
          <w:szCs w:val="21"/>
          <w:color w:val="auto"/>
        </w:rPr>
        <w:t>”) filed with the Delaware Secretary on November 18, 2010; the Third Restated Certificate (as amended by the Second Certificate of Correction) was amended and restated pursuant to an Amended and Restated Certificate of Incorporation (the “</w:t>
      </w:r>
      <w:r>
        <w:rPr>
          <w:rFonts w:ascii="Arial" w:cs="Arial" w:eastAsia="Arial" w:hAnsi="Arial"/>
          <w:sz w:val="21"/>
          <w:szCs w:val="21"/>
          <w:b w:val="1"/>
          <w:bCs w:val="1"/>
          <w:i w:val="1"/>
          <w:iCs w:val="1"/>
          <w:color w:val="auto"/>
        </w:rPr>
        <w:t>Fourth Restated Certificate</w:t>
      </w:r>
      <w:r>
        <w:rPr>
          <w:rFonts w:ascii="Arial" w:cs="Arial" w:eastAsia="Arial" w:hAnsi="Arial"/>
          <w:sz w:val="21"/>
          <w:szCs w:val="21"/>
          <w:color w:val="auto"/>
        </w:rPr>
        <w:t>”) filed with the Delaware Secretary on February 15, 2011; the Fourth Restated Certificate was amended and restated pursuant to an Amended and Restated Certificate of Incorporation (the “</w:t>
      </w:r>
      <w:r>
        <w:rPr>
          <w:rFonts w:ascii="Arial" w:cs="Arial" w:eastAsia="Arial" w:hAnsi="Arial"/>
          <w:sz w:val="21"/>
          <w:szCs w:val="21"/>
          <w:b w:val="1"/>
          <w:bCs w:val="1"/>
          <w:i w:val="1"/>
          <w:iCs w:val="1"/>
          <w:color w:val="auto"/>
        </w:rPr>
        <w:t>Fifth Restated Certificate</w:t>
      </w:r>
      <w:r>
        <w:rPr>
          <w:rFonts w:ascii="Arial" w:cs="Arial" w:eastAsia="Arial" w:hAnsi="Arial"/>
          <w:sz w:val="21"/>
          <w:szCs w:val="21"/>
          <w:color w:val="auto"/>
        </w:rPr>
        <w:t>”) filed with the Delaware Secretary on May 31, 2012; the Fifth Restated Certificate was amended and restated pursuant to an Amended and Restated Certificate of Incorporation (the “</w:t>
      </w:r>
      <w:r>
        <w:rPr>
          <w:rFonts w:ascii="Arial" w:cs="Arial" w:eastAsia="Arial" w:hAnsi="Arial"/>
          <w:sz w:val="21"/>
          <w:szCs w:val="21"/>
          <w:b w:val="1"/>
          <w:bCs w:val="1"/>
          <w:i w:val="1"/>
          <w:iCs w:val="1"/>
          <w:color w:val="auto"/>
        </w:rPr>
        <w:t>Sixth Restated Certificate</w:t>
      </w:r>
      <w:r>
        <w:rPr>
          <w:rFonts w:ascii="Arial" w:cs="Arial" w:eastAsia="Arial" w:hAnsi="Arial"/>
          <w:sz w:val="21"/>
          <w:szCs w:val="21"/>
          <w:color w:val="auto"/>
        </w:rPr>
        <w:t>”) filed with the Delaware Secretary on December 14, 2012; the Sixth Restated Certificate was amended and restated pursuant to an Amended and Restated Certificate of Incorporation (the “</w:t>
      </w:r>
      <w:r>
        <w:rPr>
          <w:rFonts w:ascii="Arial" w:cs="Arial" w:eastAsia="Arial" w:hAnsi="Arial"/>
          <w:sz w:val="21"/>
          <w:szCs w:val="21"/>
          <w:b w:val="1"/>
          <w:bCs w:val="1"/>
          <w:i w:val="1"/>
          <w:iCs w:val="1"/>
          <w:color w:val="auto"/>
        </w:rPr>
        <w:t>Seventh Restated Certificate</w:t>
      </w:r>
      <w:r>
        <w:rPr>
          <w:rFonts w:ascii="Arial" w:cs="Arial" w:eastAsia="Arial" w:hAnsi="Arial"/>
          <w:sz w:val="21"/>
          <w:szCs w:val="21"/>
          <w:color w:val="auto"/>
        </w:rPr>
        <w:t>”) filed with the Delaware Secretary on September 14, 2015; the Seventh Restated Certificate was amended and restated pursuant to an Amended and Restated Certificate of Incorporation (the “</w:t>
      </w:r>
      <w:r>
        <w:rPr>
          <w:rFonts w:ascii="Arial" w:cs="Arial" w:eastAsia="Arial" w:hAnsi="Arial"/>
          <w:sz w:val="21"/>
          <w:szCs w:val="21"/>
          <w:b w:val="1"/>
          <w:bCs w:val="1"/>
          <w:i w:val="1"/>
          <w:iCs w:val="1"/>
          <w:color w:val="auto"/>
        </w:rPr>
        <w:t>Eighth Restated Certificate</w:t>
      </w:r>
      <w:r>
        <w:rPr>
          <w:rFonts w:ascii="Arial" w:cs="Arial" w:eastAsia="Arial" w:hAnsi="Arial"/>
          <w:sz w:val="21"/>
          <w:szCs w:val="21"/>
          <w:color w:val="auto"/>
        </w:rPr>
        <w:t>”) filed with the Delaware Secretary on November 8, 2017; the Eighth Restated Certificate was amended pursuant to a Certificate of Amendment (the “</w:t>
      </w:r>
      <w:r>
        <w:rPr>
          <w:rFonts w:ascii="Arial" w:cs="Arial" w:eastAsia="Arial" w:hAnsi="Arial"/>
          <w:sz w:val="21"/>
          <w:szCs w:val="21"/>
          <w:b w:val="1"/>
          <w:bCs w:val="1"/>
          <w:i w:val="1"/>
          <w:iCs w:val="1"/>
          <w:color w:val="auto"/>
        </w:rPr>
        <w:t>First Certificate of Amendment</w:t>
      </w:r>
      <w:r>
        <w:rPr>
          <w:rFonts w:ascii="Arial" w:cs="Arial" w:eastAsia="Arial" w:hAnsi="Arial"/>
          <w:sz w:val="21"/>
          <w:szCs w:val="21"/>
          <w:color w:val="auto"/>
        </w:rPr>
        <w:t>”) filed with the Delaware Secretary on August 27, 2020; the Eighth Restated Certificate (as amended by the First Certificate of Amendment) was amended and restated pursuant to an Amended and Restated Certificate of Incorporation (the “</w:t>
      </w:r>
      <w:r>
        <w:rPr>
          <w:rFonts w:ascii="Arial" w:cs="Arial" w:eastAsia="Arial" w:hAnsi="Arial"/>
          <w:sz w:val="21"/>
          <w:szCs w:val="21"/>
          <w:b w:val="1"/>
          <w:bCs w:val="1"/>
          <w:i w:val="1"/>
          <w:iCs w:val="1"/>
          <w:color w:val="auto"/>
        </w:rPr>
        <w:t>Ninth Restated Certificate</w:t>
      </w:r>
      <w:r>
        <w:rPr>
          <w:rFonts w:ascii="Arial" w:cs="Arial" w:eastAsia="Arial" w:hAnsi="Arial"/>
          <w:sz w:val="21"/>
          <w:szCs w:val="21"/>
          <w:color w:val="auto"/>
        </w:rPr>
        <w:t>”) filed with the Delaware Secretary on June 3, 2022; the Ninth Restated Certificate was amended pursuant to a Certificate of Amendment (the “</w:t>
      </w:r>
      <w:r>
        <w:rPr>
          <w:rFonts w:ascii="Arial" w:cs="Arial" w:eastAsia="Arial" w:hAnsi="Arial"/>
          <w:sz w:val="21"/>
          <w:szCs w:val="21"/>
          <w:b w:val="1"/>
          <w:bCs w:val="1"/>
          <w:i w:val="1"/>
          <w:iCs w:val="1"/>
          <w:color w:val="auto"/>
        </w:rPr>
        <w:t>Second Certificate of</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filed with the Delaware Secretary on December 29, 2023; the Ninth</w:t>
      </w:r>
    </w:p>
    <w:p>
      <w:pPr>
        <w:sectPr>
          <w:pgSz w:w="11900" w:h="16838" w:orient="portrait"/>
          <w:cols w:equalWidth="0" w:num="1">
            <w:col w:w="11240"/>
          </w:cols>
          <w:pgMar w:left="320" w:top="117" w:right="339" w:bottom="1440" w:gutter="0" w:footer="0" w:header="0"/>
        </w:sectPr>
      </w:pPr>
    </w:p>
    <w:bookmarkStart w:id="4" w:name="page5"/>
    <w:bookmarkEnd w:id="4"/>
    <w:p>
      <w:pPr>
        <w:ind w:right="200"/>
        <w:spacing w:after="0" w:line="264" w:lineRule="auto"/>
        <w:rPr>
          <w:sz w:val="20"/>
          <w:szCs w:val="20"/>
          <w:color w:val="auto"/>
        </w:rPr>
      </w:pPr>
      <w:r>
        <w:rPr>
          <w:rFonts w:ascii="Arial" w:cs="Arial" w:eastAsia="Arial" w:hAnsi="Arial"/>
          <w:sz w:val="21"/>
          <w:szCs w:val="21"/>
          <w:color w:val="auto"/>
        </w:rPr>
        <w:t>Restated Certificate (as amended by the Second Certificate of Amendment) was amended and restated pursuant to an Amended and Restated Certificate of Incorporation (the “</w:t>
      </w:r>
      <w:r>
        <w:rPr>
          <w:rFonts w:ascii="Arial" w:cs="Arial" w:eastAsia="Arial" w:hAnsi="Arial"/>
          <w:sz w:val="21"/>
          <w:szCs w:val="21"/>
          <w:b w:val="1"/>
          <w:bCs w:val="1"/>
          <w:i w:val="1"/>
          <w:iCs w:val="1"/>
          <w:color w:val="auto"/>
        </w:rPr>
        <w:t>Tenth Restated Certificate</w:t>
      </w:r>
      <w:r>
        <w:rPr>
          <w:rFonts w:ascii="Arial" w:cs="Arial" w:eastAsia="Arial" w:hAnsi="Arial"/>
          <w:sz w:val="21"/>
          <w:szCs w:val="21"/>
          <w:color w:val="auto"/>
        </w:rPr>
        <w:t xml:space="preserve"> ”) filed with the Delaware Secretary on March 4, 2025; the Tenth Restated Certificate was amended pursuant to a Certificate of Amendment (the “</w:t>
      </w:r>
      <w:r>
        <w:rPr>
          <w:rFonts w:ascii="Arial" w:cs="Arial" w:eastAsia="Arial" w:hAnsi="Arial"/>
          <w:sz w:val="21"/>
          <w:szCs w:val="21"/>
          <w:b w:val="1"/>
          <w:bCs w:val="1"/>
          <w:i w:val="1"/>
          <w:iCs w:val="1"/>
          <w:color w:val="auto"/>
        </w:rPr>
        <w:t>Name Change Amendment</w:t>
      </w:r>
      <w:r>
        <w:rPr>
          <w:rFonts w:ascii="Arial" w:cs="Arial" w:eastAsia="Arial" w:hAnsi="Arial"/>
          <w:sz w:val="21"/>
          <w:szCs w:val="21"/>
          <w:color w:val="auto"/>
        </w:rPr>
        <w:t>”) filed with the Delaware Secretary on February 23, 2026, changing the name of the Corporation from “MicroTransponder, Inc.” to “Mobia Medical, Inc.”; and the Tenth Restated Certificate (as amended by the Name Change Amendment) was amended pursuant to a Certificate of Amendment (the “</w:t>
      </w:r>
      <w:r>
        <w:rPr>
          <w:rFonts w:ascii="Arial" w:cs="Arial" w:eastAsia="Arial" w:hAnsi="Arial"/>
          <w:sz w:val="21"/>
          <w:szCs w:val="21"/>
          <w:b w:val="1"/>
          <w:bCs w:val="1"/>
          <w:i w:val="1"/>
          <w:iCs w:val="1"/>
          <w:color w:val="auto"/>
        </w:rPr>
        <w:t>Third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Certificate of Amendment</w:t>
      </w:r>
      <w:r>
        <w:rPr>
          <w:rFonts w:ascii="Arial" w:cs="Arial" w:eastAsia="Arial" w:hAnsi="Arial"/>
          <w:sz w:val="21"/>
          <w:szCs w:val="21"/>
          <w:color w:val="auto"/>
        </w:rPr>
        <w:t>”) filed with the Delaware Secretary on May 1, 2026 (the Tenth Restated Certificate,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amended by the Third Certificate of Amendment, the “</w:t>
      </w:r>
      <w:r>
        <w:rPr>
          <w:rFonts w:ascii="Arial" w:cs="Arial" w:eastAsia="Arial" w:hAnsi="Arial"/>
          <w:sz w:val="21"/>
          <w:szCs w:val="21"/>
          <w:b w:val="1"/>
          <w:bCs w:val="1"/>
          <w:i w:val="1"/>
          <w:iCs w:val="1"/>
          <w:color w:val="auto"/>
        </w:rPr>
        <w:t>Certificate of Incorporation</w:t>
      </w:r>
      <w:r>
        <w:rPr>
          <w:rFonts w:ascii="Arial" w:cs="Arial" w:eastAsia="Arial" w:hAnsi="Arial"/>
          <w:sz w:val="21"/>
          <w:szCs w:val="21"/>
          <w:color w:val="auto"/>
        </w:rPr>
        <w:t>”).</w:t>
      </w:r>
    </w:p>
    <w:p>
      <w:pPr>
        <w:spacing w:after="0" w:line="170" w:lineRule="exact"/>
        <w:rPr>
          <w:sz w:val="20"/>
          <w:szCs w:val="20"/>
          <w:color w:val="auto"/>
        </w:rPr>
      </w:pPr>
    </w:p>
    <w:p>
      <w:pPr>
        <w:ind w:right="340" w:firstLine="656"/>
        <w:spacing w:after="0" w:line="250" w:lineRule="auto"/>
        <w:tabs>
          <w:tab w:leader="none" w:pos="106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Amended and Restated Certificate of Incorporation (this “</w:t>
      </w:r>
      <w:r>
        <w:rPr>
          <w:rFonts w:ascii="Arial" w:cs="Arial" w:eastAsia="Arial" w:hAnsi="Arial"/>
          <w:sz w:val="22"/>
          <w:szCs w:val="22"/>
          <w:b w:val="1"/>
          <w:bCs w:val="1"/>
          <w:i w:val="1"/>
          <w:iCs w:val="1"/>
          <w:color w:val="auto"/>
        </w:rPr>
        <w:t>Restated Certificate</w:t>
      </w:r>
      <w:r>
        <w:rPr>
          <w:rFonts w:ascii="Arial" w:cs="Arial" w:eastAsia="Arial" w:hAnsi="Arial"/>
          <w:sz w:val="22"/>
          <w:szCs w:val="22"/>
          <w:color w:val="auto"/>
        </w:rPr>
        <w:t>”), which amends, restates and further integrates the Certificate of Incorporation of the Corporation as heretofore in effect, has been approved by the Board of Directors of the Corporation (the “</w:t>
      </w:r>
      <w:r>
        <w:rPr>
          <w:rFonts w:ascii="Arial" w:cs="Arial" w:eastAsia="Arial" w:hAnsi="Arial"/>
          <w:sz w:val="22"/>
          <w:szCs w:val="22"/>
          <w:b w:val="1"/>
          <w:bCs w:val="1"/>
          <w:i w:val="1"/>
          <w:iCs w:val="1"/>
          <w:color w:val="auto"/>
        </w:rPr>
        <w:t>Board of Directors</w:t>
      </w:r>
      <w:r>
        <w:rPr>
          <w:rFonts w:ascii="Arial" w:cs="Arial" w:eastAsia="Arial" w:hAnsi="Arial"/>
          <w:sz w:val="22"/>
          <w:szCs w:val="22"/>
          <w:color w:val="auto"/>
        </w:rPr>
        <w:t>”) in accordance with Sections 242 and 245 of the DGCL, and has been adopted by the written consent of the stockholders of the Corporation in accordance with Section 228 of the DGCL.</w:t>
      </w:r>
    </w:p>
    <w:p>
      <w:pPr>
        <w:spacing w:after="0" w:line="180" w:lineRule="exact"/>
        <w:rPr>
          <w:rFonts w:ascii="Arial" w:cs="Arial" w:eastAsia="Arial" w:hAnsi="Arial"/>
          <w:sz w:val="22"/>
          <w:szCs w:val="22"/>
          <w:color w:val="auto"/>
        </w:rPr>
      </w:pPr>
    </w:p>
    <w:p>
      <w:pPr>
        <w:ind w:firstLine="656"/>
        <w:spacing w:after="0" w:line="285" w:lineRule="auto"/>
        <w:tabs>
          <w:tab w:leader="none" w:pos="1096"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The text of the certificate of incorporation of the Corporation, as heretofore amended, is hereby amended and restated by this Restated Certificate to read in its entirety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ectPr>
          <w:pgSz w:w="11900" w:h="16838" w:orient="portrait"/>
          <w:cols w:equalWidth="0" w:num="1">
            <w:col w:w="11240"/>
          </w:cols>
          <w:pgMar w:left="320" w:top="1423" w:right="339" w:bottom="1440" w:gutter="0" w:footer="0" w:header="0"/>
        </w:sectPr>
      </w:pPr>
    </w:p>
    <w:bookmarkStart w:id="5" w:name="page6"/>
    <w:bookmarkEnd w:id="5"/>
    <w:p>
      <w:pPr>
        <w:spacing w:after="0" w:line="272" w:lineRule="auto"/>
        <w:rPr>
          <w:sz w:val="20"/>
          <w:szCs w:val="20"/>
          <w:color w:val="auto"/>
        </w:rPr>
      </w:pPr>
      <w:r>
        <w:rPr>
          <w:rFonts w:ascii="Arial" w:cs="Arial" w:eastAsia="Arial" w:hAnsi="Arial"/>
          <w:sz w:val="22"/>
          <w:szCs w:val="22"/>
          <w:color w:val="auto"/>
        </w:rPr>
        <w:t>IN WITNESS WHEREOF, Mobia Medical, Inc. has caused this Restated Certificate to be signed by a duly authorized officer of the Corporation, on May 11, 2026.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Mobia Medical, Inc.</w:t>
      </w:r>
      <w:r>
        <w:rPr>
          <w:rFonts w:ascii="Arial" w:cs="Arial" w:eastAsia="Arial" w:hAnsi="Arial"/>
          <w:sz w:val="22"/>
          <w:szCs w:val="22"/>
          <w:color w:val="auto"/>
        </w:rPr>
        <w:t>,</w:t>
      </w:r>
    </w:p>
    <w:p>
      <w:pPr>
        <w:spacing w:after="0" w:line="235"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/s/ Richard Foust</w:t>
      </w:r>
    </w:p>
    <w:p>
      <w:pPr>
        <w:ind w:left="58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2888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22"/>
          <w:szCs w:val="22"/>
          <w:color w:val="auto"/>
        </w:rPr>
        <w:t>Name: Richard Foust</w:t>
      </w:r>
    </w:p>
    <w:p>
      <w:pPr>
        <w:spacing w:after="0" w:line="31"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Mobia Medical, Inc.’s Amended and Restated Certificate of Incorporation</w:t>
      </w:r>
      <w:r>
        <w:rPr>
          <w:rFonts w:ascii="Arial" w:cs="Arial" w:eastAsia="Arial" w:hAnsi="Arial"/>
          <w:sz w:val="18"/>
          <w:szCs w:val="18"/>
          <w:color w:val="auto"/>
        </w:rPr>
        <w:t>]</w:t>
      </w:r>
    </w:p>
    <w:p>
      <w:pPr>
        <w:sectPr>
          <w:pgSz w:w="11900" w:h="16838" w:orient="portrait"/>
          <w:cols w:equalWidth="0" w:num="1">
            <w:col w:w="11240"/>
          </w:cols>
          <w:pgMar w:left="320" w:top="1423" w:right="339" w:bottom="1440" w:gutter="0" w:footer="0" w:header="0"/>
        </w:sectPr>
      </w:pPr>
    </w:p>
    <w:bookmarkStart w:id="6" w:name="page7"/>
    <w:bookmarkEnd w:id="6"/>
    <w:p>
      <w:pPr>
        <w:ind w:left="51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I</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corporation is Mobia Medical, Inc.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w:t>
      </w:r>
    </w:p>
    <w:p>
      <w:pPr>
        <w:spacing w:after="0" w:line="231"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II</w:t>
      </w:r>
    </w:p>
    <w:p>
      <w:pPr>
        <w:spacing w:after="0" w:line="22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21"/>
          <w:szCs w:val="21"/>
          <w:color w:val="auto"/>
        </w:rPr>
        <w:t>The address of the Corporation’s registered office in the State of Delaware is 251 Little Falls Drive, Wilmington, County of New Castle, 19808. The name of its registered agent at such address is Corporation Service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General Corporation Law of the State of Delaware (the “</w:t>
      </w:r>
      <w:r>
        <w:rPr>
          <w:rFonts w:ascii="Arial" w:cs="Arial" w:eastAsia="Arial" w:hAnsi="Arial"/>
          <w:sz w:val="22"/>
          <w:szCs w:val="22"/>
          <w:b w:val="1"/>
          <w:bCs w:val="1"/>
          <w:i w:val="1"/>
          <w:iCs w:val="1"/>
          <w:color w:val="auto"/>
        </w:rPr>
        <w:t>DGCL</w:t>
      </w:r>
      <w:r>
        <w:rPr>
          <w:rFonts w:ascii="Arial" w:cs="Arial" w:eastAsia="Arial" w:hAnsi="Arial"/>
          <w:sz w:val="22"/>
          <w:szCs w:val="22"/>
          <w:color w:val="auto"/>
        </w:rPr>
        <w:t>”) as it now exists or may hereafter be amended and supplemented.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Corporation is authorized to issue two classes of stock to be designated, respectively,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Preferred Stock</w:t>
      </w:r>
      <w:r>
        <w:rPr>
          <w:rFonts w:ascii="Arial" w:cs="Arial" w:eastAsia="Arial" w:hAnsi="Arial"/>
          <w:sz w:val="22"/>
          <w:szCs w:val="22"/>
          <w:color w:val="auto"/>
        </w:rPr>
        <w:t>.” The total number of shares of capital stock which the Corporation shall have authority to issue is 1,000,000,000 shares divided into the following: (i) 950,000,000 shares of Common Stock, $0.01 par value per share (the “Common Stock”), and (ii) 50,000,000 shares of Preferred Stock, $0.01 par value per share (the “Preferred Stock”). The Preferred Stock may be divided into and issued into one or more series. The Board of Directors is hereby vested with authority to establish and designate such series from time to time, and within the limitations prescribed by law or set forth herein, to fix and determine the preferences, limitations, and relative rights of the shares of any series so established.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The designations and the powers, privileges and rights, and the qualifications, limitations or restrictions thereof in respect of each class of capital stock of the Corporation are as follows:</w:t>
      </w:r>
    </w:p>
    <w:p>
      <w:pPr>
        <w:spacing w:after="0" w:line="156" w:lineRule="exact"/>
        <w:rPr>
          <w:sz w:val="20"/>
          <w:szCs w:val="20"/>
          <w:color w:val="auto"/>
        </w:rPr>
      </w:pPr>
    </w:p>
    <w:p>
      <w:pPr>
        <w:ind w:left="1100" w:hanging="444"/>
        <w:spacing w:after="0"/>
        <w:tabs>
          <w:tab w:leader="none" w:pos="110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8" w:lineRule="auto"/>
        <w:tabs>
          <w:tab w:leader="none" w:pos="1743" w:val="left"/>
        </w:tabs>
        <w:numPr>
          <w:ilvl w:val="1"/>
          <w:numId w:val="4"/>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Arial" w:cs="Arial" w:eastAsia="Arial" w:hAnsi="Arial"/>
          <w:sz w:val="21"/>
          <w:szCs w:val="21"/>
          <w:b w:val="1"/>
          <w:bCs w:val="1"/>
          <w:i w:val="1"/>
          <w:iCs w:val="1"/>
          <w:color w:val="auto"/>
        </w:rPr>
        <w:t>Board of Directors</w:t>
      </w:r>
      <w:r>
        <w:rPr>
          <w:rFonts w:ascii="Arial" w:cs="Arial" w:eastAsia="Arial" w:hAnsi="Arial"/>
          <w:sz w:val="21"/>
          <w:szCs w:val="21"/>
          <w:color w:val="auto"/>
        </w:rPr>
        <w:t>”) and outstanding from time to time.</w:t>
      </w:r>
    </w:p>
    <w:p>
      <w:pPr>
        <w:spacing w:after="0" w:line="129" w:lineRule="exact"/>
        <w:rPr>
          <w:rFonts w:ascii="Arial" w:cs="Arial" w:eastAsia="Arial" w:hAnsi="Arial"/>
          <w:sz w:val="21"/>
          <w:szCs w:val="21"/>
          <w:color w:val="auto"/>
        </w:rPr>
      </w:pPr>
    </w:p>
    <w:p>
      <w:pPr>
        <w:ind w:firstLine="1304"/>
        <w:spacing w:after="0" w:line="272" w:lineRule="auto"/>
        <w:tabs>
          <w:tab w:leader="none" w:pos="1892"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Voting</w:t>
      </w:r>
      <w:r>
        <w:rPr>
          <w:rFonts w:ascii="Arial" w:cs="Arial" w:eastAsia="Arial" w:hAnsi="Arial"/>
          <w:sz w:val="22"/>
          <w:szCs w:val="22"/>
          <w:color w:val="auto"/>
        </w:rPr>
        <w:t>. Except as otherwise provided herein or expressly required by law, each holder of Common Stock, as such, shall be entitled to vote on each matter</w:t>
      </w:r>
    </w:p>
    <w:p>
      <w:pPr>
        <w:sectPr>
          <w:pgSz w:w="11900" w:h="16838" w:orient="portrait"/>
          <w:cols w:equalWidth="0" w:num="1">
            <w:col w:w="11240"/>
          </w:cols>
          <w:pgMar w:left="320" w:top="1421" w:right="33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21"/>
          <w:szCs w:val="21"/>
          <w:color w:val="auto"/>
        </w:rPr>
        <w:t>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Amended and Restated Certificate of Incorporation (this “</w:t>
      </w:r>
      <w:r>
        <w:rPr>
          <w:rFonts w:ascii="Arial" w:cs="Arial" w:eastAsia="Arial" w:hAnsi="Arial"/>
          <w:sz w:val="21"/>
          <w:szCs w:val="21"/>
          <w:b w:val="1"/>
          <w:bCs w:val="1"/>
          <w:i w:val="1"/>
          <w:iCs w:val="1"/>
          <w:color w:val="auto"/>
        </w:rPr>
        <w:t>Restated Certificate</w:t>
      </w:r>
      <w:r>
        <w:rPr>
          <w:rFonts w:ascii="Arial" w:cs="Arial" w:eastAsia="Arial" w:hAnsi="Arial"/>
          <w:sz w:val="21"/>
          <w:szCs w:val="21"/>
          <w:color w:val="auto"/>
        </w:rPr>
        <w:t>”)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Restated Certificate (including any Certificate of Designation) or pursuant to the DGCL.</w:t>
      </w:r>
    </w:p>
    <w:p>
      <w:pPr>
        <w:spacing w:after="0" w:line="18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Subject to the rights of any holders of any outstanding series of Preferred Stock, the number of authorized shares of Common Stock or Preferred Stock may be increased or decreased (but not below the number of shares thereof then outstanding) by the requisite vote of the stockholders entitled to vote thereon, voting as a single class, irrespective of the provisions of Section 242(b)(2) of the DGCL.</w:t>
      </w:r>
    </w:p>
    <w:p>
      <w:pPr>
        <w:spacing w:after="0" w:line="175" w:lineRule="exact"/>
        <w:rPr>
          <w:sz w:val="20"/>
          <w:szCs w:val="20"/>
          <w:color w:val="auto"/>
        </w:rPr>
      </w:pPr>
    </w:p>
    <w:p>
      <w:pPr>
        <w:jc w:val="both"/>
        <w:ind w:firstLine="1304"/>
        <w:spacing w:after="0" w:line="257" w:lineRule="auto"/>
        <w:tabs>
          <w:tab w:leader="none" w:pos="1932"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71" w:lineRule="exact"/>
        <w:rPr>
          <w:rFonts w:ascii="Arial" w:cs="Arial" w:eastAsia="Arial" w:hAnsi="Arial"/>
          <w:sz w:val="22"/>
          <w:szCs w:val="22"/>
          <w:color w:val="auto"/>
        </w:rPr>
      </w:pPr>
    </w:p>
    <w:p>
      <w:pPr>
        <w:jc w:val="both"/>
        <w:ind w:firstLine="1304"/>
        <w:spacing w:after="0" w:line="253" w:lineRule="auto"/>
        <w:tabs>
          <w:tab w:leader="none" w:pos="1757"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Liquidation</w:t>
      </w:r>
      <w:r>
        <w:rPr>
          <w:rFonts w:ascii="Arial" w:cs="Arial" w:eastAsia="Arial" w:hAnsi="Arial"/>
          <w:sz w:val="22"/>
          <w:szCs w:val="22"/>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in accordance with the number of shares of Common Stock held by each such holder.</w:t>
      </w:r>
    </w:p>
    <w:p>
      <w:pPr>
        <w:spacing w:after="0" w:line="178" w:lineRule="exact"/>
        <w:rPr>
          <w:rFonts w:ascii="Arial" w:cs="Arial" w:eastAsia="Arial" w:hAnsi="Arial"/>
          <w:sz w:val="22"/>
          <w:szCs w:val="22"/>
          <w:color w:val="auto"/>
        </w:rPr>
      </w:pPr>
    </w:p>
    <w:p>
      <w:pPr>
        <w:ind w:left="1100" w:hanging="444"/>
        <w:spacing w:after="0"/>
        <w:tabs>
          <w:tab w:leader="none" w:pos="11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PREFERRED STOCK</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6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Arial" w:cs="Arial" w:eastAsia="Arial" w:hAnsi="Arial"/>
          <w:sz w:val="21"/>
          <w:szCs w:val="21"/>
          <w:b w:val="1"/>
          <w:bCs w:val="1"/>
          <w:i w:val="1"/>
          <w:iCs w:val="1"/>
          <w:color w:val="auto"/>
        </w:rPr>
        <w:t>Certificate of Designation</w:t>
      </w:r>
      <w:r>
        <w:rPr>
          <w:rFonts w:ascii="Arial" w:cs="Arial" w:eastAsia="Arial" w:hAnsi="Arial"/>
          <w:sz w:val="21"/>
          <w:szCs w:val="21"/>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w:t>
      </w:r>
    </w:p>
    <w:p>
      <w:pPr>
        <w:sectPr>
          <w:pgSz w:w="11900" w:h="16838" w:orient="portrait"/>
          <w:cols w:equalWidth="0" w:num="1">
            <w:col w:w="11240"/>
          </w:cols>
          <w:pgMar w:left="320" w:top="1423" w:right="3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22"/>
          <w:szCs w:val="22"/>
          <w:color w:val="auto"/>
        </w:rPr>
        <w:t>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Restated Certificate (including any Certificate of Designation). Except as otherwise required by law, holders of any series of Preferred Stock shall be entitled only to such voting rights, if any, as shall expressly be granted thereto by this Restated Certificate (including any Certificate of Designation).</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The number of authorized shares of Preferred Stock may be increased or decreased (but not below the number of shares thereof then outstanding) irrespective of the provisions of Section 242(b)(2) of the DGCL.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22" w:lineRule="exact"/>
        <w:rPr>
          <w:sz w:val="20"/>
          <w:szCs w:val="20"/>
          <w:color w:val="auto"/>
        </w:rPr>
      </w:pPr>
    </w:p>
    <w:p>
      <w:pPr>
        <w:jc w:val="center"/>
        <w:ind w:left="480"/>
        <w:spacing w:after="0"/>
        <w:rPr>
          <w:sz w:val="20"/>
          <w:szCs w:val="20"/>
          <w:color w:val="auto"/>
        </w:rPr>
      </w:pPr>
      <w:r>
        <w:rPr>
          <w:rFonts w:ascii="Arial" w:cs="Arial" w:eastAsia="Arial" w:hAnsi="Arial"/>
          <w:sz w:val="22"/>
          <w:szCs w:val="22"/>
          <w:color w:val="auto"/>
        </w:rPr>
        <w:t>For the management of the business and for the conduct of the affairs of the Corporation it is further provided</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stockholders following the initial registration of the Corporation’s Common Stock pursuant to the Securities Exchange Act of 1934, as amended; the initial Class II directors shall serve for a term expiring at the second annual meeting of stockholders following such registration; and the initial Class III directors shall serve for a term expiring at the third annual meeting of stockholders following such registration. At each annual meeting of stockholders of the Corporation beginning with the first annual meeting of stockholders following the filing and effectiveness of this Restated Certificate,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retirement, disqualification or removal. No decrease in the number of directors shall shorten the term of any incumbent director. The Board of Directors is authorized to designate members of the Board of Directors already in office as Class I, Class II and Class III.</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B. Except as otherwise expressly provided by the DGCL or this Restated Certificate, the business and affairs of the Corporation shall be managed by or under the direction of the Board of Directors. The number of directors which shall constitute</w:t>
      </w:r>
    </w:p>
    <w:p>
      <w:pPr>
        <w:sectPr>
          <w:pgSz w:w="11900" w:h="16838" w:orient="portrait"/>
          <w:cols w:equalWidth="0" w:num="1">
            <w:col w:w="11240"/>
          </w:cols>
          <w:pgMar w:left="320" w:top="1423" w:right="3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22"/>
          <w:szCs w:val="22"/>
          <w:color w:val="auto"/>
        </w:rPr>
        <w:t>the whole Board of Directors shall be fixed exclusively by one or more resolutions adopted from time to time by the Board of Directors.</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at an election of directors.</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 Subject to the special rights of the holders of one or more outstanding series of Preferred Stock to elect directors, except as otherwise provided by law, any vacancies on the Board of Directors resulting from death, resignation, retirement, disqualification,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Restated Certificate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Restated Certificate (including any</w:t>
      </w:r>
    </w:p>
    <w:p>
      <w:pPr>
        <w:sectPr>
          <w:pgSz w:w="11900" w:h="16838" w:orient="portrait"/>
          <w:cols w:equalWidth="0" w:num="1">
            <w:col w:w="11240"/>
          </w:cols>
          <w:pgMar w:left="320" w:top="1423"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22"/>
          <w:szCs w:val="22"/>
          <w:color w:val="auto"/>
        </w:rPr>
        <w:t>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w:t>
      </w:r>
    </w:p>
    <w:p>
      <w:pPr>
        <w:spacing w:after="0" w:line="172" w:lineRule="exact"/>
        <w:rPr>
          <w:sz w:val="20"/>
          <w:szCs w:val="20"/>
          <w:color w:val="auto"/>
        </w:rPr>
      </w:pPr>
    </w:p>
    <w:p>
      <w:pPr>
        <w:jc w:val="center"/>
        <w:ind w:right="160"/>
        <w:spacing w:after="0" w:line="448" w:lineRule="auto"/>
        <w:rPr>
          <w:sz w:val="20"/>
          <w:szCs w:val="20"/>
          <w:color w:val="auto"/>
        </w:rPr>
      </w:pPr>
      <w:r>
        <w:rPr>
          <w:rFonts w:ascii="Arial" w:cs="Arial" w:eastAsia="Arial" w:hAnsi="Arial"/>
          <w:sz w:val="22"/>
          <w:szCs w:val="22"/>
          <w:color w:val="auto"/>
        </w:rPr>
        <w:t xml:space="preserve">G. The directors of the Corporation need not be elected by written ballot unless the Bylaws so provide. </w:t>
      </w:r>
      <w:r>
        <w:rPr>
          <w:rFonts w:ascii="Arial" w:cs="Arial" w:eastAsia="Arial" w:hAnsi="Arial"/>
          <w:sz w:val="22"/>
          <w:szCs w:val="22"/>
          <w:b w:val="1"/>
          <w:bCs w:val="1"/>
          <w:color w:val="auto"/>
        </w:rPr>
        <w:t>ARTICLE VII</w:t>
      </w:r>
    </w:p>
    <w:p>
      <w:pPr>
        <w:spacing w:after="0" w:line="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A. 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B. Subject to the special rights of the holders of one or more series of Preferred Stock, special meetings of stockholders of the Corporation may be called, for any purpose or purposes, at any time only by or at the direction of the Board of Directors, the Chair of the Board of Directors, the Chief Executive Officer or President, and shall not be called by any other person or persons.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C. Advance notice of stockholder nominations for the election of directors and of other business proposed to be brought by stockholders before any meeting of stockholders of the Corporation shall be given in the manner provided in the Bylaws of the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Restated Certificate inconsistent with this Article VIII, shall not adversely affect any right or protection of a director or officer of the Corporation with respect to any act or omission occurring prior to such amendment, repeal, modification</w:t>
      </w:r>
    </w:p>
    <w:p>
      <w:pPr>
        <w:sectPr>
          <w:pgSz w:w="11900" w:h="16838" w:orient="portrait"/>
          <w:cols w:equalWidth="0" w:num="1">
            <w:col w:w="11240"/>
          </w:cols>
          <w:pgMar w:left="320" w:top="1423"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22"/>
          <w:szCs w:val="22"/>
          <w:color w:val="auto"/>
        </w:rPr>
        <w:t>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Unless the Corporation consents in writing to the selection of an alternative forum, (a) the Court of Chancery (the “</w:t>
      </w:r>
      <w:r>
        <w:rPr>
          <w:rFonts w:ascii="Arial" w:cs="Arial" w:eastAsia="Arial" w:hAnsi="Arial"/>
          <w:sz w:val="21"/>
          <w:szCs w:val="21"/>
          <w:b w:val="1"/>
          <w:bCs w:val="1"/>
          <w:i w:val="1"/>
          <w:iCs w:val="1"/>
          <w:color w:val="auto"/>
        </w:rPr>
        <w:t>Chancery Court</w:t>
      </w:r>
      <w:r>
        <w:rPr>
          <w:rFonts w:ascii="Arial" w:cs="Arial" w:eastAsia="Arial" w:hAnsi="Arial"/>
          <w:sz w:val="21"/>
          <w:szCs w:val="21"/>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bylaws of the Corporation or this Restated Certificate (as either may be amended from time to time) or (iv) any action, suit or proceeding asserting a claim against the Corporation governed by the internal affairs doctrine; and (b) subject to the preceding provisions of this Article X,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Arial" w:cs="Arial" w:eastAsia="Arial" w:hAnsi="Arial"/>
          <w:sz w:val="21"/>
          <w:szCs w:val="21"/>
          <w:b w:val="1"/>
          <w:bCs w:val="1"/>
          <w:i w:val="1"/>
          <w:iCs w:val="1"/>
          <w:color w:val="auto"/>
        </w:rPr>
        <w:t>Foreign Action</w:t>
      </w:r>
      <w:r>
        <w:rPr>
          <w:rFonts w:ascii="Arial" w:cs="Arial" w:eastAsia="Arial" w:hAnsi="Arial"/>
          <w:sz w:val="21"/>
          <w:szCs w:val="21"/>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person or entity purchasing or otherwise acquiring any interest in any security of the Corporation shall be deemed to have notice of and consented to this Article X. This Article X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w:t>
      </w:r>
    </w:p>
    <w:p>
      <w:pPr>
        <w:sectPr>
          <w:pgSz w:w="11900" w:h="16838" w:orient="portrait"/>
          <w:cols w:equalWidth="0" w:num="1">
            <w:col w:w="11240"/>
          </w:cols>
          <w:pgMar w:left="320" w:top="1423"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22"/>
          <w:szCs w:val="22"/>
          <w:color w:val="auto"/>
        </w:rPr>
        <w:t>documents underlying the offering.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Notwithstanding anything contained in this Restated Certificate to the contrary, in addition to any vote required by applicable law, the following provisions in this Restated Certificate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 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ectPr>
          <w:pgSz w:w="11900" w:h="16838" w:orient="portrait"/>
          <w:cols w:equalWidth="0" w:num="1">
            <w:col w:w="11240"/>
          </w:cols>
          <w:pgMar w:left="320" w:top="1423"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Amended and Restated Bylaws of</w:t>
      </w: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27"/>
          <w:szCs w:val="27"/>
          <w:b w:val="1"/>
          <w:bCs w:val="1"/>
          <w:color w:val="auto"/>
        </w:rPr>
        <w:t>Mobia Medical, Inc.</w:t>
      </w: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 Delaware corporation)</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as of May 11, 2026</w:t>
      </w:r>
    </w:p>
    <w:p>
      <w:pPr>
        <w:sectPr>
          <w:pgSz w:w="11900" w:h="16838" w:orient="portrait"/>
          <w:cols w:equalWidth="0" w:num="1">
            <w:col w:w="10120"/>
          </w:cols>
          <w:pgMar w:left="1440" w:top="117"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Page</w:t>
      </w:r>
    </w:p>
    <w:p>
      <w:pPr>
        <w:sectPr>
          <w:pgSz w:w="11900" w:h="16838" w:orient="portrait"/>
          <w:cols w:equalWidth="0" w:num="1">
            <w:col w:w="11200"/>
          </w:cols>
          <w:pgMar w:left="340" w:top="116" w:right="359" w:bottom="483"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Article I - Corporate Offices</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Registered Office</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Other Offices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II - Meetings of Stockholders</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Place of Meetings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Annual Meeting</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Special Meeting</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color w:val="auto"/>
        </w:rPr>
        <w:t>Notice of Business to be Brought before a Meeting.</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color w:val="auto"/>
        </w:rPr>
        <w:t>Notice of Nominations for Election to the Board of Directors.</w:t>
      </w:r>
    </w:p>
    <w:p>
      <w:pPr>
        <w:spacing w:after="0" w:line="67" w:lineRule="exact"/>
        <w:rPr>
          <w:sz w:val="20"/>
          <w:szCs w:val="20"/>
          <w:color w:val="auto"/>
        </w:rPr>
      </w:pPr>
    </w:p>
    <w:p>
      <w:pPr>
        <w:ind w:left="1740" w:hanging="890"/>
        <w:spacing w:after="0" w:line="274" w:lineRule="auto"/>
        <w:tabs>
          <w:tab w:leader="none" w:pos="17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0"/>
          <w:szCs w:val="20"/>
          <w:color w:val="auto"/>
        </w:rPr>
        <w:t>Additional Requirements for Valid Nomination of Candidates to Serve as Director and, if Elected, to be Seated as Directors.</w:t>
      </w:r>
    </w:p>
    <w:p>
      <w:pPr>
        <w:spacing w:after="0" w:line="1"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color w:val="auto"/>
        </w:rPr>
        <w:t>Notice of Stockholders’ Meetings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color w:val="auto"/>
        </w:rPr>
        <w:t>Quorum</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color w:val="auto"/>
        </w:rPr>
        <w:t>Adjourned Meeting; Notice</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color w:val="auto"/>
        </w:rPr>
        <w:t>Conduct of Business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color w:val="auto"/>
        </w:rPr>
        <w:t>Voting</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color w:val="auto"/>
        </w:rPr>
        <w:t>Record Date for Stockholder Meetings and Other Purposes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Proxies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color w:val="auto"/>
        </w:rPr>
        <w:t>List of Stockholders Entitled to Vote</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color w:val="auto"/>
        </w:rPr>
        <w:t>Inspectors of Election</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color w:val="auto"/>
        </w:rPr>
        <w:t>Delivery to Mobia.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III - Directors</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Powers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Number of Directors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Election, Qualification and Term of Office of Directors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color w:val="auto"/>
        </w:rPr>
        <w:t>Resignation and Vacancies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color w:val="auto"/>
        </w:rPr>
        <w:t>Place of Meetings; Meetings by Telephone</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color w:val="auto"/>
        </w:rPr>
        <w:t>Regular Meetings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color w:val="auto"/>
        </w:rPr>
        <w:t>Special Meetings; Notice</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9"/>
          <w:szCs w:val="19"/>
          <w:color w:val="auto"/>
        </w:rPr>
        <w:t>Quorum</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9"/>
          <w:szCs w:val="19"/>
          <w:color w:val="auto"/>
        </w:rPr>
        <w:t>Board Action without a Meeting</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color w:val="auto"/>
        </w:rPr>
        <w:t>Fees and Compensation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IV - Committees</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Committees of Directors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Committee Minutes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Meetings and Actions of Committees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color w:val="auto"/>
        </w:rPr>
        <w:t>Subcommittees.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V - Officers</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Officers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14</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15</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18</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19</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21</w:t>
      </w:r>
    </w:p>
    <w:p>
      <w:pPr>
        <w:spacing w:after="0" w:line="200" w:lineRule="exact"/>
        <w:rPr>
          <w:sz w:val="20"/>
          <w:szCs w:val="20"/>
          <w:color w:val="auto"/>
        </w:rPr>
      </w:pPr>
    </w:p>
    <w:p>
      <w:pPr>
        <w:sectPr>
          <w:pgSz w:w="11900" w:h="16838" w:orient="portrait"/>
          <w:cols w:equalWidth="0" w:num="2">
            <w:col w:w="10380" w:space="600"/>
            <w:col w:w="220"/>
          </w:cols>
          <w:pgMar w:left="340" w:top="116" w:right="359" w:bottom="48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00"/>
          </w:cols>
          <w:pgMar w:left="340" w:top="116" w:right="359" w:bottom="483" w:gutter="0" w:footer="0" w:header="0"/>
          <w:type w:val="continuous"/>
        </w:sectPr>
      </w:pPr>
    </w:p>
    <w:bookmarkStart w:id="15" w:name="page16"/>
    <w:bookmarkEnd w:id="15"/>
    <w:p>
      <w:pPr>
        <w:jc w:val="center"/>
        <w:ind w:left="12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1"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Appointment of Officers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color w:val="auto"/>
        </w:rPr>
        <w:t>Subordinate Officers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color w:val="auto"/>
        </w:rPr>
        <w:t>Removal and Resignation of Officers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color w:val="auto"/>
        </w:rPr>
        <w:t>Vacancies in Offices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9"/>
          <w:szCs w:val="19"/>
          <w:color w:val="auto"/>
        </w:rPr>
        <w:t>Representation of Shares of Other Corporations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color w:val="auto"/>
        </w:rPr>
        <w:t>Authority and Duties of Officers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9"/>
          <w:szCs w:val="19"/>
          <w:color w:val="auto"/>
        </w:rPr>
        <w:t>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VI - Records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VII - General Matters</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color w:val="auto"/>
        </w:rPr>
        <w:t>Execution of Corporate Contracts and Instruments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Stock Certificates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Special Designation of Certificates.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Lost Certificates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color w:val="auto"/>
        </w:rPr>
        <w:t>Shares Without Certificates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9"/>
          <w:szCs w:val="19"/>
          <w:color w:val="auto"/>
        </w:rPr>
        <w:t>Construction; Definitions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color w:val="auto"/>
        </w:rPr>
        <w:t>Dividends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9"/>
          <w:szCs w:val="19"/>
          <w:color w:val="auto"/>
        </w:rPr>
        <w:t>Fiscal Year</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9"/>
          <w:szCs w:val="19"/>
          <w:color w:val="auto"/>
        </w:rPr>
        <w:t>Seal</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9"/>
          <w:szCs w:val="19"/>
          <w:color w:val="auto"/>
        </w:rPr>
        <w:t>Transfer of Stock</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9"/>
          <w:szCs w:val="19"/>
          <w:color w:val="auto"/>
        </w:rPr>
        <w:t>Stock Transfer Agreements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color w:val="auto"/>
        </w:rPr>
        <w:t>Registered Stockholders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9"/>
          <w:szCs w:val="19"/>
          <w:color w:val="auto"/>
        </w:rPr>
        <w:t>Waiver of Notice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VIII - Notice</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Delivery of Notice; Notice by Electronic Transmission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IX - Indemnification</w:t>
      </w:r>
    </w:p>
    <w:p>
      <w:pPr>
        <w:spacing w:after="0" w:line="162"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Indemnification of Directors and Officers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color w:val="auto"/>
        </w:rPr>
        <w:t>Indemnification of Others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color w:val="auto"/>
        </w:rPr>
        <w:t>Prepayment of Expenses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9"/>
          <w:szCs w:val="19"/>
          <w:color w:val="auto"/>
        </w:rPr>
        <w:t>Determination; Claim</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color w:val="auto"/>
        </w:rPr>
        <w:t>Non-Exclusivity of Rights</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color w:val="auto"/>
        </w:rPr>
        <w:t>Insurance</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color w:val="auto"/>
        </w:rPr>
        <w:t>Other Indemnification</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color w:val="auto"/>
        </w:rPr>
        <w:t>Continuation of Indemnification</w:t>
      </w:r>
    </w:p>
    <w:p>
      <w:pPr>
        <w:spacing w:after="0" w:line="67" w:lineRule="exact"/>
        <w:rPr>
          <w:sz w:val="20"/>
          <w:szCs w:val="20"/>
          <w:color w:val="auto"/>
        </w:rPr>
      </w:pPr>
    </w:p>
    <w:p>
      <w:pPr>
        <w:ind w:left="840"/>
        <w:spacing w:after="0"/>
        <w:tabs>
          <w:tab w:leader="none" w:pos="17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9"/>
          <w:szCs w:val="19"/>
          <w:color w:val="auto"/>
        </w:rPr>
        <w:t>Amendment or Repeal; Interpretation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X - Amendments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XI - Forum Selection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Article XII - Definitions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pacing w:after="0" w:line="200" w:lineRule="exact"/>
        <w:rPr>
          <w:sz w:val="20"/>
          <w:szCs w:val="20"/>
          <w:color w:val="auto"/>
        </w:rPr>
      </w:pPr>
    </w:p>
    <w:p>
      <w:pPr>
        <w:sectPr>
          <w:pgSz w:w="11900" w:h="16838" w:orient="portrait"/>
          <w:cols w:equalWidth="0" w:num="2">
            <w:col w:w="10000" w:space="720"/>
            <w:col w:w="480"/>
          </w:cols>
          <w:pgMar w:left="340" w:top="114" w:right="359" w:bottom="9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00"/>
          </w:cols>
          <w:pgMar w:left="340" w:top="114" w:right="359" w:bottom="915"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t>AMENDED AND RESTATED BYLAWS OF</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MOBIA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190500</wp:posOffset>
            </wp:positionV>
            <wp:extent cx="2631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156210</wp:posOffset>
            </wp:positionV>
            <wp:extent cx="2631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 Corporate Offices</w:t>
      </w:r>
    </w:p>
    <w:p>
      <w:pPr>
        <w:spacing w:after="0" w:line="21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Registered Office</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The address of the registered office of Mobia Medical, Inc. (“</w:t>
      </w:r>
      <w:r>
        <w:rPr>
          <w:rFonts w:ascii="Arial" w:cs="Arial" w:eastAsia="Arial" w:hAnsi="Arial"/>
          <w:sz w:val="20"/>
          <w:szCs w:val="20"/>
          <w:b w:val="1"/>
          <w:bCs w:val="1"/>
          <w:i w:val="1"/>
          <w:iCs w:val="1"/>
          <w:color w:val="auto"/>
        </w:rPr>
        <w:t>Mobia</w:t>
      </w:r>
      <w:r>
        <w:rPr>
          <w:rFonts w:ascii="Arial" w:cs="Arial" w:eastAsia="Arial" w:hAnsi="Arial"/>
          <w:sz w:val="20"/>
          <w:szCs w:val="20"/>
          <w:color w:val="auto"/>
        </w:rPr>
        <w:t>”) in the State of Delaware, and the name of its registered agent at such address, shall be as set forth in Mobia’s certificate of incorporation, as the same may be amended and/or restated from time to time (the “</w:t>
      </w:r>
      <w:r>
        <w:rPr>
          <w:rFonts w:ascii="Arial" w:cs="Arial" w:eastAsia="Arial" w:hAnsi="Arial"/>
          <w:sz w:val="20"/>
          <w:szCs w:val="20"/>
          <w:b w:val="1"/>
          <w:bCs w:val="1"/>
          <w:i w:val="1"/>
          <w:iCs w:val="1"/>
          <w:color w:val="auto"/>
        </w:rPr>
        <w:t>Certificate of Incorporation</w:t>
      </w:r>
      <w:r>
        <w:rPr>
          <w:rFonts w:ascii="Arial" w:cs="Arial" w:eastAsia="Arial" w:hAnsi="Arial"/>
          <w:sz w:val="20"/>
          <w:szCs w:val="20"/>
          <w:color w:val="auto"/>
        </w:rPr>
        <w:t>”).</w:t>
      </w:r>
    </w:p>
    <w:p>
      <w:pPr>
        <w:spacing w:after="0" w:line="16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u w:val="single" w:color="auto"/>
          <w:color w:val="auto"/>
        </w:rPr>
        <w:t>Other Offices</w:t>
      </w:r>
      <w:r>
        <w:rPr>
          <w:rFonts w:ascii="Arial" w:cs="Arial" w:eastAsia="Arial" w:hAnsi="Arial"/>
          <w:sz w:val="19"/>
          <w:szCs w:val="19"/>
          <w:color w:val="auto"/>
        </w:rPr>
        <w:t>.</w:t>
      </w:r>
    </w:p>
    <w:p>
      <w:pPr>
        <w:spacing w:after="0" w:line="216"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20"/>
          <w:szCs w:val="20"/>
          <w:color w:val="auto"/>
        </w:rPr>
        <w:t>Mobia may have additional offices at any place or places, within or outside the State of Delaware, as Mobia’s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may from time to time establish or as the business of Mobia may require.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 Meetings of Stockholders</w:t>
      </w:r>
    </w:p>
    <w:p>
      <w:pPr>
        <w:spacing w:after="0" w:line="21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u w:val="single" w:color="auto"/>
          <w:color w:val="auto"/>
        </w:rPr>
        <w:t>Place of Meetings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 In the absence of any such designation or determination, stockholders’ meetings shall be held at Mobia’s principal executive office.</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u w:val="single" w:color="auto"/>
          <w:color w:val="auto"/>
        </w:rPr>
        <w:t>Annual Meeting</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The Board shall designate the date and time of the annual meeting of stockholders. At the annual meeting of stockholders, directors shall be elected and other proper business properly brought before the meeting in accordance with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of these bylaws may be transacted. The Board may postpone, reschedule or cancel any previously scheduled annual meeting of stockholders.</w:t>
      </w:r>
    </w:p>
    <w:p>
      <w:pPr>
        <w:spacing w:after="0" w:line="1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Special Meeting</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Special meetings of stockholders may be called only by such persons and only in such manner as set forth in the Certificate of Incorporation.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2" w:right="339" w:bottom="1440" w:gutter="0" w:footer="0" w:header="0"/>
        </w:sectPr>
      </w:pPr>
    </w:p>
    <w:bookmarkStart w:id="17" w:name="page18"/>
    <w:bookmarkEnd w:id="17"/>
    <w:p>
      <w:pPr>
        <w:ind w:left="660"/>
        <w:spacing w:after="0"/>
        <w:tabs>
          <w:tab w:leader="none" w:pos="11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u w:val="single" w:color="auto"/>
          <w:color w:val="auto"/>
        </w:rPr>
        <w:t>Notice of Business to be Brought Before a Meeting</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62" w:lineRule="auto"/>
        <w:tabs>
          <w:tab w:leader="none" w:pos="1681" w:val="left"/>
        </w:tabs>
        <w:numPr>
          <w:ilvl w:val="1"/>
          <w:numId w:val="7"/>
        </w:numPr>
        <w:rPr>
          <w:rFonts w:ascii="Arial" w:cs="Arial" w:eastAsia="Arial" w:hAnsi="Arial"/>
          <w:sz w:val="19"/>
          <w:szCs w:val="19"/>
          <w:color w:val="auto"/>
        </w:rPr>
      </w:pPr>
      <w:r>
        <w:rPr>
          <w:rFonts w:ascii="Arial" w:cs="Arial" w:eastAsia="Arial" w:hAnsi="Arial"/>
          <w:sz w:val="19"/>
          <w:szCs w:val="19"/>
          <w:color w:val="auto"/>
        </w:rPr>
        <w:t xml:space="preserve">At an annual meeting of the stockholders,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the Board or the Chair of the Board, or (iii) otherwise properly brought before the meeting by a stockholder present in person who (A)(1) was a record owner of shares of Mobia both at the time of giving the notice provided for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at the time of the meeting, (2) is entitled to vote at the meeting and (3) has complied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in all applicable respects or</w:t>
      </w:r>
    </w:p>
    <w:p>
      <w:pPr>
        <w:spacing w:after="0" w:line="4" w:lineRule="exact"/>
        <w:rPr>
          <w:rFonts w:ascii="Arial" w:cs="Arial" w:eastAsia="Arial" w:hAnsi="Arial"/>
          <w:sz w:val="19"/>
          <w:szCs w:val="19"/>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properly made such proposal in accordance with Rule 14a-8 under the Securities Exchange Act of 1934, as amended, and</w:t>
      </w:r>
    </w:p>
    <w:p>
      <w:pPr>
        <w:spacing w:after="0" w:line="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rules and regulations thereunder (as so amended and inclusive of such rules and regulations,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xml:space="preserve">”).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and stockholders shall not be permitted to propose business to be brought before a special meeting of the stockholders. For purposes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w:t>
      </w:r>
      <w:r>
        <w:rPr>
          <w:rFonts w:ascii="Arial" w:cs="Arial" w:eastAsia="Arial" w:hAnsi="Arial"/>
          <w:sz w:val="19"/>
          <w:szCs w:val="19"/>
          <w:b w:val="1"/>
          <w:bCs w:val="1"/>
          <w:i w:val="1"/>
          <w:iCs w:val="1"/>
          <w:color w:val="auto"/>
        </w:rPr>
        <w:t>present in person</w:t>
      </w:r>
      <w:r>
        <w:rPr>
          <w:rFonts w:ascii="Arial" w:cs="Arial" w:eastAsia="Arial" w:hAnsi="Arial"/>
          <w:sz w:val="19"/>
          <w:szCs w:val="19"/>
          <w:color w:val="auto"/>
        </w:rPr>
        <w:t xml:space="preserve">” shall mean that the stockholder proposing that the business be brought before the annual meeting of Mobia,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not be applicable to nominations except as expressly provided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2.6</w:t>
      </w:r>
      <w:r>
        <w:rPr>
          <w:rFonts w:ascii="Arial" w:cs="Arial" w:eastAsia="Arial" w:hAnsi="Arial"/>
          <w:sz w:val="19"/>
          <w:szCs w:val="19"/>
          <w:color w:val="auto"/>
        </w:rPr>
        <w:t>.</w:t>
      </w:r>
    </w:p>
    <w:p>
      <w:pPr>
        <w:spacing w:after="0" w:line="163" w:lineRule="exact"/>
        <w:rPr>
          <w:sz w:val="20"/>
          <w:szCs w:val="20"/>
          <w:color w:val="auto"/>
        </w:rPr>
      </w:pPr>
    </w:p>
    <w:p>
      <w:pPr>
        <w:jc w:val="both"/>
        <w:ind w:firstLine="1304"/>
        <w:spacing w:after="0" w:line="276" w:lineRule="auto"/>
        <w:tabs>
          <w:tab w:leader="none" w:pos="1815" w:val="left"/>
        </w:tabs>
        <w:numPr>
          <w:ilvl w:val="1"/>
          <w:numId w:val="9"/>
        </w:numPr>
        <w:rPr>
          <w:rFonts w:ascii="Arial" w:cs="Arial" w:eastAsia="Arial" w:hAnsi="Arial"/>
          <w:sz w:val="19"/>
          <w:szCs w:val="19"/>
          <w:color w:val="auto"/>
        </w:rPr>
      </w:pPr>
      <w:r>
        <w:rPr>
          <w:rFonts w:ascii="Arial" w:cs="Arial" w:eastAsia="Arial" w:hAnsi="Arial"/>
          <w:sz w:val="19"/>
          <w:szCs w:val="19"/>
          <w:color w:val="auto"/>
        </w:rPr>
        <w:t>Without qualification, for business to be properly brought before an annual meeting by a stockholder, the stockholder must (i) provide Timely Notice (as defined below) thereof in writing and in proper form to the Secretary of Mobia and</w:t>
      </w:r>
    </w:p>
    <w:p>
      <w:pPr>
        <w:spacing w:after="0" w:line="1" w:lineRule="exact"/>
        <w:rPr>
          <w:rFonts w:ascii="Arial" w:cs="Arial" w:eastAsia="Arial" w:hAnsi="Arial"/>
          <w:sz w:val="19"/>
          <w:szCs w:val="19"/>
          <w:color w:val="auto"/>
        </w:rPr>
      </w:pPr>
    </w:p>
    <w:p>
      <w:pPr>
        <w:jc w:val="both"/>
        <w:ind w:firstLine="8"/>
        <w:spacing w:after="0" w:line="242" w:lineRule="auto"/>
        <w:tabs>
          <w:tab w:leader="none" w:pos="279"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provide any updates or supplements to such notice at the times and in the forms required by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To be timely, a stockholder’s notice shall be delivered to, or mailed and received at, the principal executive offices of Mobia not less than ninety (90) days nor more than one hundred twenty (120) days prior to the one-year anniversary of the preceding year’s annual meeting which, in the case of the first annual meeting of stockholders following the closing of Mobia’s initial underwritten public offering of common stock, the date of the preceding year’s annual meeting shall be deemed to be June 1, 2025;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 date of the annual meeting is more than thirty (30) days before or more than sixty (60) days after such</w:t>
      </w:r>
      <w:r>
        <w:rPr>
          <w:rFonts w:ascii="Arial" w:cs="Arial" w:eastAsia="Arial" w:hAnsi="Arial"/>
          <w:sz w:val="20"/>
          <w:szCs w:val="20"/>
          <w:i w:val="1"/>
          <w:iCs w:val="1"/>
          <w:color w:val="auto"/>
        </w:rPr>
        <w:t xml:space="preserve"> </w:t>
      </w:r>
      <w:r>
        <w:rPr>
          <w:rFonts w:ascii="Arial" w:cs="Arial" w:eastAsia="Arial" w:hAnsi="Arial"/>
          <w:sz w:val="20"/>
          <w:szCs w:val="20"/>
          <w:color w:val="auto"/>
        </w:rPr>
        <w:t>anniversary date, notice by the stockholder to be timely shall be so delivered, or mailed and received, not more than the hundred twentieth (120</w:t>
      </w:r>
      <w:r>
        <w:rPr>
          <w:rFonts w:ascii="Arial" w:cs="Arial" w:eastAsia="Arial" w:hAnsi="Arial"/>
          <w:sz w:val="25"/>
          <w:szCs w:val="25"/>
          <w:color w:val="auto"/>
          <w:vertAlign w:val="superscript"/>
        </w:rPr>
        <w:t>th</w:t>
      </w:r>
      <w:r>
        <w:rPr>
          <w:rFonts w:ascii="Arial" w:cs="Arial" w:eastAsia="Arial" w:hAnsi="Arial"/>
          <w:sz w:val="20"/>
          <w:szCs w:val="20"/>
          <w:color w:val="auto"/>
        </w:rPr>
        <w:t>) day prior to such annual meeting and not later than (i) the ninetieth (90th) day prior to such annual meeting or, (ii) if later, the tenth (10th) day following the day on which public disclosure of the date of such annual meeting was first made by Mobia (such notice within such time periods, “</w:t>
      </w:r>
      <w:r>
        <w:rPr>
          <w:rFonts w:ascii="Arial" w:cs="Arial" w:eastAsia="Arial" w:hAnsi="Arial"/>
          <w:sz w:val="20"/>
          <w:szCs w:val="20"/>
          <w:b w:val="1"/>
          <w:bCs w:val="1"/>
          <w:i w:val="1"/>
          <w:iCs w:val="1"/>
          <w:color w:val="auto"/>
        </w:rPr>
        <w:t>Timely Notice</w:t>
      </w:r>
      <w:r>
        <w:rPr>
          <w:rFonts w:ascii="Arial" w:cs="Arial" w:eastAsia="Arial" w:hAnsi="Arial"/>
          <w:sz w:val="20"/>
          <w:szCs w:val="20"/>
          <w:color w:val="auto"/>
        </w:rPr>
        <w:t>”). In no event shall any adjournment or postponement of an annual meeting or the announcement thereof commence a new time period for the giving of Timely Notice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4" w:right="339" w:bottom="1440" w:gutter="0" w:footer="0" w:header="0"/>
        </w:sectPr>
      </w:pPr>
    </w:p>
    <w:bookmarkStart w:id="18" w:name="page19"/>
    <w:bookmarkEnd w:id="18"/>
    <w:p>
      <w:pPr>
        <w:ind w:left="1780" w:hanging="476"/>
        <w:spacing w:after="0"/>
        <w:tabs>
          <w:tab w:leader="none" w:pos="17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To be in proper form for purposes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a stockholder’s notice to the Secretary shall set forth:</w:t>
      </w:r>
    </w:p>
    <w:p>
      <w:pPr>
        <w:spacing w:after="0" w:line="256" w:lineRule="exact"/>
        <w:rPr>
          <w:rFonts w:ascii="Arial" w:cs="Arial" w:eastAsia="Arial" w:hAnsi="Arial"/>
          <w:sz w:val="20"/>
          <w:szCs w:val="20"/>
          <w:color w:val="auto"/>
        </w:rPr>
      </w:pPr>
    </w:p>
    <w:p>
      <w:pPr>
        <w:jc w:val="both"/>
        <w:ind w:firstLine="1952"/>
        <w:spacing w:after="0" w:line="250" w:lineRule="auto"/>
        <w:tabs>
          <w:tab w:leader="none" w:pos="2556" w:val="left"/>
        </w:tabs>
        <w:numPr>
          <w:ilvl w:val="1"/>
          <w:numId w:val="11"/>
        </w:numPr>
        <w:rPr>
          <w:rFonts w:ascii="Arial" w:cs="Arial" w:eastAsia="Arial" w:hAnsi="Arial"/>
          <w:sz w:val="22"/>
          <w:szCs w:val="22"/>
          <w:color w:val="auto"/>
        </w:rPr>
      </w:pPr>
      <w:r>
        <w:rPr>
          <w:rFonts w:ascii="Arial" w:cs="Arial" w:eastAsia="Arial" w:hAnsi="Arial"/>
          <w:sz w:val="20"/>
          <w:szCs w:val="20"/>
          <w:color w:val="auto"/>
        </w:rPr>
        <w:t>As to each Proposing Person (as defined below), (A) the name and address of such Proposing Person (including, if applicable, the name and address that appear on Mobia’s books and records), (B) the class or series and number of shares of Mobia that are, directly or indirectly, owned of record or beneficially owned (within the meaning of Rule 13d-3 under the Exchange Act) by such Proposing Person, except that such Proposing Person shall in all events be deemed to beneficially own any shares of any class or series of Mobia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Arial" w:cs="Arial" w:eastAsia="Arial" w:hAnsi="Arial"/>
          <w:sz w:val="20"/>
          <w:szCs w:val="20"/>
          <w:b w:val="1"/>
          <w:bCs w:val="1"/>
          <w:i w:val="1"/>
          <w:iCs w:val="1"/>
          <w:color w:val="auto"/>
        </w:rPr>
        <w:t>Stockholder Information</w:t>
      </w:r>
      <w:r>
        <w:rPr>
          <w:rFonts w:ascii="Arial" w:cs="Arial" w:eastAsia="Arial" w:hAnsi="Arial"/>
          <w:sz w:val="20"/>
          <w:szCs w:val="20"/>
          <w:color w:val="auto"/>
        </w:rPr>
        <w:t>”);</w:t>
      </w:r>
    </w:p>
    <w:p>
      <w:pPr>
        <w:spacing w:after="0" w:line="192" w:lineRule="exact"/>
        <w:rPr>
          <w:rFonts w:ascii="Arial" w:cs="Arial" w:eastAsia="Arial" w:hAnsi="Arial"/>
          <w:sz w:val="22"/>
          <w:szCs w:val="22"/>
          <w:color w:val="auto"/>
        </w:rPr>
      </w:pPr>
    </w:p>
    <w:p>
      <w:pPr>
        <w:jc w:val="both"/>
        <w:ind w:firstLine="1952"/>
        <w:spacing w:after="0" w:line="248" w:lineRule="auto"/>
        <w:tabs>
          <w:tab w:leader="none" w:pos="2475" w:val="left"/>
        </w:tabs>
        <w:numPr>
          <w:ilvl w:val="1"/>
          <w:numId w:val="11"/>
        </w:numPr>
        <w:rPr>
          <w:rFonts w:ascii="Arial" w:cs="Arial" w:eastAsia="Arial" w:hAnsi="Arial"/>
          <w:sz w:val="22"/>
          <w:szCs w:val="22"/>
          <w:color w:val="auto"/>
        </w:rPr>
      </w:pPr>
      <w:r>
        <w:rPr>
          <w:rFonts w:ascii="Arial" w:cs="Arial" w:eastAsia="Arial" w:hAnsi="Arial"/>
          <w:sz w:val="20"/>
          <w:szCs w:val="20"/>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Mobia (“</w:t>
      </w:r>
      <w:r>
        <w:rPr>
          <w:rFonts w:ascii="Arial" w:cs="Arial" w:eastAsia="Arial" w:hAnsi="Arial"/>
          <w:sz w:val="20"/>
          <w:szCs w:val="20"/>
          <w:b w:val="1"/>
          <w:bCs w:val="1"/>
          <w:i w:val="1"/>
          <w:iCs w:val="1"/>
          <w:color w:val="auto"/>
        </w:rPr>
        <w:t>Synthetic</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Equity Position</w:t>
      </w:r>
      <w:r>
        <w:rPr>
          <w:rFonts w:ascii="Arial" w:cs="Arial" w:eastAsia="Arial" w:hAnsi="Arial"/>
          <w:sz w:val="20"/>
          <w:szCs w:val="20"/>
          <w:color w:val="auto"/>
        </w:rPr>
        <w:t>”) that is, directly or indirectly, held or maintained by, held for the benefit of, or involving such Proposing Person,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including, without limitation, (1) any option, warrant, convertible security, stock appreciation right, future or similar right with an exercise or conversion privilege or a settlement payment or mechanism at a price related to any class or series of shares of Mobia or with a value derived in whole or in part from the value of any class or series of shares of Mobia, (2) any derivative or synthetic arrangement having the characteristics of a long position or a short position in any class or series of shares of Mobia,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Mobia, (y) mitigate any loss relating to, reduce the economic risk (of ownership or otherwise) of, or manage the risk of share price decrease in, any class or series of shares of Mobia, or (z) increase or decrease the voting power in respect of any class or series of shares of Mobia of such Proposing Person, including, without limitation, due to the fact that the value of such contract, derivative, swap or other transaction or series of transactions is determined by reference to the price, value or volatility of any class or series of shares of Mobia, whether or not such instrument, contract or right shall be subject to settlement in the underlying class or series of shares of Mobia,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Mobia;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4" w:right="339" w:bottom="1440" w:gutter="0" w:footer="0" w:header="0"/>
        </w:sectPr>
      </w:pPr>
    </w:p>
    <w:bookmarkStart w:id="19" w:name="page20"/>
    <w:bookmarkEnd w:id="19"/>
    <w:p>
      <w:pPr>
        <w:jc w:val="both"/>
        <w:spacing w:after="0" w:line="249" w:lineRule="auto"/>
        <w:rPr>
          <w:sz w:val="20"/>
          <w:szCs w:val="20"/>
          <w:color w:val="auto"/>
        </w:rPr>
      </w:pPr>
      <w:r>
        <w:rPr>
          <w:rFonts w:ascii="Arial" w:cs="Arial" w:eastAsia="Arial" w:hAnsi="Arial"/>
          <w:sz w:val="20"/>
          <w:szCs w:val="20"/>
          <w:color w:val="auto"/>
        </w:rPr>
        <w:t xml:space="preserve">immediately convertible or exercisable at the time of such determination; and, </w:t>
      </w:r>
      <w:r>
        <w:rPr>
          <w:rFonts w:ascii="Arial" w:cs="Arial" w:eastAsia="Arial" w:hAnsi="Arial"/>
          <w:sz w:val="20"/>
          <w:szCs w:val="20"/>
          <w:i w:val="1"/>
          <w:iCs w:val="1"/>
          <w:color w:val="auto"/>
        </w:rPr>
        <w:t>provided</w:t>
      </w:r>
      <w:r>
        <w:rPr>
          <w:rFonts w:ascii="Arial" w:cs="Arial" w:eastAsia="Arial" w:hAnsi="Arial"/>
          <w:sz w:val="20"/>
          <w:szCs w:val="20"/>
          <w:color w:val="auto"/>
        </w:rPr>
        <w:t>, further,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Mobia owned beneficially by such Proposing Person that are separated or separable from the underlying shares of Mobia, (C) any material pending or threatened legal proceeding in which such Proposing Person is a party or material participant involving Mobia or any of its officers or directors, or any affiliate of Mobia, (D) any other material relationship between such Proposing Person, on the one hand, and Mobia or any affiliate of Mobia, on the other hand, (E) any direct or indirect material interest in any material contract or agreement of such Proposing Person with Mobia or any affiliate of Mobia (including, in any such case, any employment agreement, collective bargaining agreement or consulting agreement), (F) any proportionate interest in shares of Mobia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which intends to deliver a proxy statement or form of proxy to holders of at least the percentage of Mobia’s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w:t>
      </w:r>
      <w:r>
        <w:rPr>
          <w:rFonts w:ascii="Arial" w:cs="Arial" w:eastAsia="Arial" w:hAnsi="Arial"/>
          <w:sz w:val="20"/>
          <w:szCs w:val="20"/>
          <w:b w:val="1"/>
          <w:bCs w:val="1"/>
          <w:i w:val="1"/>
          <w:iCs w:val="1"/>
          <w:color w:val="auto"/>
        </w:rPr>
        <w:t>Disclosable Interests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9" w:lineRule="exact"/>
        <w:rPr>
          <w:sz w:val="20"/>
          <w:szCs w:val="20"/>
          <w:color w:val="auto"/>
        </w:rPr>
      </w:pPr>
    </w:p>
    <w:p>
      <w:pPr>
        <w:jc w:val="both"/>
        <w:ind w:firstLine="1952"/>
        <w:spacing w:after="0" w:line="248" w:lineRule="auto"/>
        <w:tabs>
          <w:tab w:leader="none" w:pos="2449" w:val="left"/>
        </w:tabs>
        <w:numPr>
          <w:ilvl w:val="0"/>
          <w:numId w:val="12"/>
        </w:numPr>
        <w:rPr>
          <w:rFonts w:ascii="Arial" w:cs="Arial" w:eastAsia="Arial" w:hAnsi="Arial"/>
          <w:sz w:val="22"/>
          <w:szCs w:val="22"/>
          <w:color w:val="auto"/>
        </w:rPr>
      </w:pPr>
      <w:r>
        <w:rPr>
          <w:rFonts w:ascii="Arial" w:cs="Arial" w:eastAsia="Arial" w:hAnsi="Arial"/>
          <w:sz w:val="20"/>
          <w:szCs w:val="20"/>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 who have a right to acquire beneficial ownership at any time in the future of the shares of any class or series of stock of Mobia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4"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20"/>
          <w:szCs w:val="20"/>
          <w:color w:val="auto"/>
        </w:rPr>
        <w:t xml:space="preserve">proposed to be brought before the meeting pursuant to Section 14(a) of the Exchange Act;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68" w:lineRule="exact"/>
        <w:rPr>
          <w:sz w:val="20"/>
          <w:szCs w:val="20"/>
          <w:color w:val="auto"/>
        </w:rPr>
      </w:pPr>
    </w:p>
    <w:p>
      <w:pPr>
        <w:jc w:val="both"/>
        <w:ind w:firstLine="1304"/>
        <w:spacing w:after="0" w:line="277" w:lineRule="auto"/>
        <w:tabs>
          <w:tab w:leader="none" w:pos="1804"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the term “</w:t>
      </w:r>
      <w:r>
        <w:rPr>
          <w:rFonts w:ascii="Arial" w:cs="Arial" w:eastAsia="Arial" w:hAnsi="Arial"/>
          <w:sz w:val="19"/>
          <w:szCs w:val="19"/>
          <w:b w:val="1"/>
          <w:bCs w:val="1"/>
          <w:i w:val="1"/>
          <w:iCs w:val="1"/>
          <w:color w:val="auto"/>
        </w:rPr>
        <w:t>Proposing Person</w:t>
      </w:r>
      <w:r>
        <w:rPr>
          <w:rFonts w:ascii="Arial" w:cs="Arial" w:eastAsia="Arial" w:hAnsi="Arial"/>
          <w:sz w:val="19"/>
          <w:szCs w:val="19"/>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65" w:lineRule="exact"/>
        <w:rPr>
          <w:rFonts w:ascii="Arial" w:cs="Arial" w:eastAsia="Arial" w:hAnsi="Arial"/>
          <w:sz w:val="19"/>
          <w:szCs w:val="19"/>
          <w:color w:val="auto"/>
        </w:rPr>
      </w:pPr>
    </w:p>
    <w:p>
      <w:pPr>
        <w:jc w:val="both"/>
        <w:ind w:left="80" w:firstLine="1224"/>
        <w:spacing w:after="0" w:line="254" w:lineRule="auto"/>
        <w:tabs>
          <w:tab w:leader="none" w:pos="1964" w:val="left"/>
        </w:tabs>
        <w:numPr>
          <w:ilvl w:val="1"/>
          <w:numId w:val="13"/>
        </w:numPr>
        <w:rPr>
          <w:rFonts w:ascii="Arial" w:cs="Arial" w:eastAsia="Arial" w:hAnsi="Arial"/>
          <w:sz w:val="20"/>
          <w:szCs w:val="20"/>
          <w:color w:val="auto"/>
        </w:rPr>
      </w:pPr>
      <w:r>
        <w:rPr>
          <w:rFonts w:ascii="Arial" w:cs="Arial" w:eastAsia="Arial" w:hAnsi="Arial"/>
          <w:sz w:val="20"/>
          <w:szCs w:val="20"/>
          <w:color w:val="auto"/>
        </w:rPr>
        <w:t xml:space="preserve">The Board may request that any Proposing Person furnish such additional information as may be reasonably required by the Board. Such Proposing Person shall provide such additional information within ten (10) days after it has been requested by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of the Proposing Person to furnish such information in the time frame specified in this subsection shall result in the Proposing Person’s item of business to not be considered at the annual meeting.</w:t>
      </w:r>
    </w:p>
    <w:p>
      <w:pPr>
        <w:spacing w:after="0" w:line="187" w:lineRule="exact"/>
        <w:rPr>
          <w:rFonts w:ascii="Arial" w:cs="Arial" w:eastAsia="Arial" w:hAnsi="Arial"/>
          <w:sz w:val="20"/>
          <w:szCs w:val="20"/>
          <w:color w:val="auto"/>
        </w:rPr>
      </w:pPr>
    </w:p>
    <w:p>
      <w:pPr>
        <w:jc w:val="both"/>
        <w:ind w:left="80" w:firstLine="1224"/>
        <w:spacing w:after="0" w:line="268" w:lineRule="auto"/>
        <w:tabs>
          <w:tab w:leader="none" w:pos="1801" w:val="left"/>
        </w:tabs>
        <w:numPr>
          <w:ilvl w:val="1"/>
          <w:numId w:val="13"/>
        </w:numPr>
        <w:rPr>
          <w:rFonts w:ascii="Arial" w:cs="Arial" w:eastAsia="Arial" w:hAnsi="Arial"/>
          <w:sz w:val="19"/>
          <w:szCs w:val="19"/>
          <w:color w:val="auto"/>
        </w:rPr>
      </w:pPr>
      <w:r>
        <w:rPr>
          <w:rFonts w:ascii="Arial" w:cs="Arial" w:eastAsia="Arial" w:hAnsi="Arial"/>
          <w:sz w:val="19"/>
          <w:szCs w:val="19"/>
          <w:color w:val="auto"/>
        </w:rPr>
        <w:t xml:space="preserve">A Proposing Person shall update and supplement its notice to Mobia of its intent to propose business at an annual meeting, if necessary, so that the information provided or required to be provided in such notice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shall be true and correct as of the record date for stockholders entitled to vote at the meeting and as of the date that is ten</w:t>
      </w:r>
    </w:p>
    <w:p>
      <w:pPr>
        <w:spacing w:after="0" w:line="1" w:lineRule="exact"/>
        <w:rPr>
          <w:rFonts w:ascii="Arial" w:cs="Arial" w:eastAsia="Arial" w:hAnsi="Arial"/>
          <w:sz w:val="19"/>
          <w:szCs w:val="19"/>
          <w:color w:val="auto"/>
        </w:rPr>
      </w:pPr>
    </w:p>
    <w:p>
      <w:pPr>
        <w:jc w:val="both"/>
        <w:ind w:left="80" w:firstLine="9"/>
        <w:spacing w:after="0" w:line="246" w:lineRule="auto"/>
        <w:tabs>
          <w:tab w:leader="none" w:pos="501" w:val="left"/>
        </w:tabs>
        <w:numPr>
          <w:ilvl w:val="0"/>
          <w:numId w:val="14"/>
        </w:numPr>
        <w:rPr>
          <w:rFonts w:ascii="Arial" w:cs="Arial" w:eastAsia="Arial" w:hAnsi="Arial"/>
          <w:sz w:val="20"/>
          <w:szCs w:val="20"/>
          <w:color w:val="auto"/>
        </w:rPr>
      </w:pPr>
      <w:r>
        <w:rPr>
          <w:rFonts w:ascii="Arial" w:cs="Arial" w:eastAsia="Arial" w:hAnsi="Arial"/>
          <w:sz w:val="20"/>
          <w:szCs w:val="20"/>
          <w:color w:val="auto"/>
        </w:rPr>
        <w:t>business days prior to the meeting or any adjournment or postponement thereof, and such update and supplement shall be delivered to, or mailed and received by, the Secretary of Mobia at the principal executive offices of Mobia not later than five</w:t>
      </w:r>
    </w:p>
    <w:p>
      <w:pPr>
        <w:spacing w:after="0" w:line="1" w:lineRule="exact"/>
        <w:rPr>
          <w:rFonts w:ascii="Arial" w:cs="Arial" w:eastAsia="Arial" w:hAnsi="Arial"/>
          <w:sz w:val="20"/>
          <w:szCs w:val="20"/>
          <w:color w:val="auto"/>
        </w:rPr>
      </w:pPr>
    </w:p>
    <w:p>
      <w:pPr>
        <w:jc w:val="both"/>
        <w:ind w:left="80" w:firstLine="9"/>
        <w:spacing w:after="0" w:line="248" w:lineRule="auto"/>
        <w:tabs>
          <w:tab w:leader="none" w:pos="424" w:val="left"/>
        </w:tabs>
        <w:numPr>
          <w:ilvl w:val="0"/>
          <w:numId w:val="15"/>
        </w:numPr>
        <w:rPr>
          <w:rFonts w:ascii="Arial" w:cs="Arial" w:eastAsia="Arial" w:hAnsi="Arial"/>
          <w:sz w:val="20"/>
          <w:szCs w:val="20"/>
          <w:color w:val="auto"/>
        </w:rPr>
      </w:pPr>
      <w:r>
        <w:rPr>
          <w:rFonts w:ascii="Arial" w:cs="Arial" w:eastAsia="Arial" w:hAnsi="Arial"/>
          <w:sz w:val="20"/>
          <w:szCs w:val="20"/>
          <w:color w:val="auto"/>
        </w:rPr>
        <w:t>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Mobia’s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97" w:lineRule="exact"/>
        <w:rPr>
          <w:rFonts w:ascii="Arial" w:cs="Arial" w:eastAsia="Arial" w:hAnsi="Arial"/>
          <w:sz w:val="20"/>
          <w:szCs w:val="20"/>
          <w:color w:val="auto"/>
        </w:rPr>
      </w:pPr>
    </w:p>
    <w:p>
      <w:pPr>
        <w:jc w:val="both"/>
        <w:ind w:left="80" w:firstLine="1224"/>
        <w:spacing w:after="0" w:line="254" w:lineRule="auto"/>
        <w:tabs>
          <w:tab w:leader="none" w:pos="1930"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The presiding officer of the meeting (or, in advance of any meeting of stockholders, the Board or an authorized committee thereof) shall, if the facts warrant, determine that the business was not properly brought before the meeting in accordance with this </w:t>
      </w:r>
      <w:r>
        <w:rPr>
          <w:rFonts w:ascii="Arial" w:cs="Arial" w:eastAsia="Arial" w:hAnsi="Arial"/>
          <w:sz w:val="20"/>
          <w:szCs w:val="20"/>
          <w:u w:val="single" w:color="auto"/>
          <w:color w:val="auto"/>
        </w:rPr>
        <w:t>Section 2.4</w:t>
      </w:r>
      <w:r>
        <w:rPr>
          <w:rFonts w:ascii="Arial" w:cs="Arial" w:eastAsia="Arial" w:hAnsi="Arial"/>
          <w:sz w:val="20"/>
          <w:szCs w:val="20"/>
          <w:color w:val="auto"/>
        </w:rPr>
        <w:t>, and if he or she should so determine, he or she shall so declare to the meeting and any such business not properly brought before the meeting shall not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4" w:right="339" w:bottom="1440" w:gutter="0" w:footer="0" w:header="0"/>
        </w:sectPr>
      </w:pPr>
    </w:p>
    <w:bookmarkStart w:id="21" w:name="page22"/>
    <w:bookmarkEnd w:id="21"/>
    <w:p>
      <w:pPr>
        <w:jc w:val="both"/>
        <w:ind w:left="80" w:firstLine="1224"/>
        <w:spacing w:after="0" w:line="254" w:lineRule="auto"/>
        <w:tabs>
          <w:tab w:leader="none" w:pos="1906"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is expressly intended to apply to any business proposed to be brought before an annual meeting of stockholders other than any proposal made in accordance with Rule 14a-8 under the Exchange Act and included in Mobia’s proxy statement. In addition to the requirements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shall be deemed to affect the rights of stockholders to request inclusion of proposals in Mobia’s proxy statement pursuant to Rule 14a-8 under the Exchange Act.</w:t>
      </w:r>
    </w:p>
    <w:p>
      <w:pPr>
        <w:spacing w:after="0" w:line="186" w:lineRule="exact"/>
        <w:rPr>
          <w:rFonts w:ascii="Arial" w:cs="Arial" w:eastAsia="Arial" w:hAnsi="Arial"/>
          <w:sz w:val="20"/>
          <w:szCs w:val="20"/>
          <w:color w:val="auto"/>
        </w:rPr>
      </w:pPr>
    </w:p>
    <w:p>
      <w:pPr>
        <w:jc w:val="both"/>
        <w:ind w:left="80" w:firstLine="1224"/>
        <w:spacing w:after="0" w:line="262" w:lineRule="auto"/>
        <w:tabs>
          <w:tab w:leader="none" w:pos="1826" w:val="left"/>
        </w:tabs>
        <w:numPr>
          <w:ilvl w:val="0"/>
          <w:numId w:val="16"/>
        </w:numPr>
        <w:rPr>
          <w:rFonts w:ascii="Arial" w:cs="Arial" w:eastAsia="Arial" w:hAnsi="Arial"/>
          <w:sz w:val="20"/>
          <w:szCs w:val="20"/>
          <w:color w:val="auto"/>
        </w:rPr>
      </w:pPr>
      <w:r>
        <w:rPr>
          <w:rFonts w:ascii="Arial" w:cs="Arial" w:eastAsia="Arial" w:hAnsi="Arial"/>
          <w:sz w:val="20"/>
          <w:szCs w:val="20"/>
          <w:color w:val="auto"/>
        </w:rPr>
        <w:t>For purposes of these bylaws, “</w:t>
      </w:r>
      <w:r>
        <w:rPr>
          <w:rFonts w:ascii="Arial" w:cs="Arial" w:eastAsia="Arial" w:hAnsi="Arial"/>
          <w:sz w:val="20"/>
          <w:szCs w:val="20"/>
          <w:b w:val="1"/>
          <w:bCs w:val="1"/>
          <w:i w:val="1"/>
          <w:iCs w:val="1"/>
          <w:color w:val="auto"/>
        </w:rPr>
        <w:t>public disclosure</w:t>
      </w:r>
      <w:r>
        <w:rPr>
          <w:rFonts w:ascii="Arial" w:cs="Arial" w:eastAsia="Arial" w:hAnsi="Arial"/>
          <w:sz w:val="20"/>
          <w:szCs w:val="20"/>
          <w:color w:val="auto"/>
        </w:rPr>
        <w:t>” shall mean disclosure in a press release reported by a national news service or in a document publicly filed by Mobia with the Securities and Exchange Commission pursuant to Sections 13, 14 or 15(d) of the Exchange Act.</w:t>
      </w:r>
    </w:p>
    <w:p>
      <w:pPr>
        <w:spacing w:after="0" w:line="16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u w:val="single" w:color="auto"/>
          <w:color w:val="auto"/>
        </w:rPr>
        <w:t>Notice of Nominations for Election to the Board</w:t>
      </w:r>
      <w:r>
        <w:rPr>
          <w:rFonts w:ascii="Arial" w:cs="Arial" w:eastAsia="Arial" w:hAnsi="Arial"/>
          <w:sz w:val="19"/>
          <w:szCs w:val="19"/>
          <w:color w:val="auto"/>
        </w:rPr>
        <w:t>.</w:t>
      </w:r>
    </w:p>
    <w:p>
      <w:pPr>
        <w:spacing w:after="0" w:line="229" w:lineRule="exact"/>
        <w:rPr>
          <w:sz w:val="20"/>
          <w:szCs w:val="20"/>
          <w:color w:val="auto"/>
        </w:rPr>
      </w:pPr>
    </w:p>
    <w:p>
      <w:pPr>
        <w:jc w:val="both"/>
        <w:ind w:firstLine="1304"/>
        <w:spacing w:after="0" w:line="250" w:lineRule="auto"/>
        <w:tabs>
          <w:tab w:leader="none" w:pos="171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(a) by or at the direction of the Board, including by any committee or persons authorized to do so by the Board or these bylaws or (b) by a stockholder present in person (as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who (A) was a record owner of shares of Mobia both at the time of giving the notice provided for in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at the time of the meeting, (B) is entitled to vote at the meeting and (C) has complied with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as to such notice and nomination. For purposes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w:t>
      </w:r>
      <w:r>
        <w:rPr>
          <w:rFonts w:ascii="Arial" w:cs="Arial" w:eastAsia="Arial" w:hAnsi="Arial"/>
          <w:sz w:val="20"/>
          <w:szCs w:val="20"/>
          <w:b w:val="1"/>
          <w:bCs w:val="1"/>
          <w:i w:val="1"/>
          <w:iCs w:val="1"/>
          <w:color w:val="auto"/>
        </w:rPr>
        <w:t>present in</w:t>
      </w:r>
      <w:r>
        <w:rPr>
          <w:rFonts w:ascii="Arial" w:cs="Arial" w:eastAsia="Arial" w:hAnsi="Arial"/>
          <w:sz w:val="20"/>
          <w:szCs w:val="20"/>
          <w:color w:val="auto"/>
        </w:rPr>
        <w:t xml:space="preserve"> </w:t>
      </w:r>
      <w:r>
        <w:rPr>
          <w:rFonts w:ascii="Arial" w:cs="Arial" w:eastAsia="Arial" w:hAnsi="Arial"/>
          <w:sz w:val="20"/>
          <w:szCs w:val="20"/>
          <w:b w:val="1"/>
          <w:bCs w:val="1"/>
          <w:color w:val="auto"/>
        </w:rPr>
        <w:t>person</w:t>
      </w:r>
      <w:r>
        <w:rPr>
          <w:rFonts w:ascii="Arial" w:cs="Arial" w:eastAsia="Arial" w:hAnsi="Arial"/>
          <w:sz w:val="20"/>
          <w:szCs w:val="20"/>
          <w:color w:val="auto"/>
        </w:rPr>
        <w:t>” shall mean that the stockholder nominating any person for election to the Board at the meeting of Mobia,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(b) shall be the exclusive means for a stockholder to make any nomination of a person or persons for election to the Board at any annual meeting or special meeting.</w:t>
      </w:r>
    </w:p>
    <w:p>
      <w:pPr>
        <w:spacing w:after="0" w:line="183" w:lineRule="exact"/>
        <w:rPr>
          <w:rFonts w:ascii="Arial" w:cs="Arial" w:eastAsia="Arial" w:hAnsi="Arial"/>
          <w:sz w:val="20"/>
          <w:szCs w:val="20"/>
          <w:color w:val="auto"/>
        </w:rPr>
      </w:pPr>
    </w:p>
    <w:p>
      <w:pPr>
        <w:jc w:val="both"/>
        <w:ind w:firstLine="1304"/>
        <w:spacing w:after="0" w:line="258" w:lineRule="auto"/>
        <w:tabs>
          <w:tab w:leader="none" w:pos="1808"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Without qualification, for a stockholder to make any nomination of a person or persons for election to the Board at an annual meeting, the stockholder must (a) provide Timely Notice (as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thereof in writing and in proper form to the Secretary of Mobia, (b) provide the information, agreements and questionnaires with respect to such stockholder and its candidate for nomination as required to be set forth by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and (c) provide any updates or supplements to such notice at the times and in the forms required by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jc w:val="both"/>
        <w:ind w:firstLine="1304"/>
        <w:spacing w:after="0" w:line="259" w:lineRule="auto"/>
        <w:tabs>
          <w:tab w:leader="none" w:pos="1815" w:val="left"/>
        </w:tabs>
        <w:numPr>
          <w:ilvl w:val="0"/>
          <w:numId w:val="17"/>
        </w:numPr>
        <w:rPr>
          <w:rFonts w:ascii="Arial" w:cs="Arial" w:eastAsia="Arial" w:hAnsi="Arial"/>
          <w:sz w:val="20"/>
          <w:szCs w:val="20"/>
          <w:color w:val="auto"/>
        </w:rPr>
      </w:pPr>
      <w:r>
        <w:rPr>
          <w:rFonts w:ascii="Arial" w:cs="Arial" w:eastAsia="Arial" w:hAnsi="Arial"/>
          <w:sz w:val="20"/>
          <w:szCs w:val="20"/>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attention of the Secretary of Mobia at the principal executive offices of Mobia, (b) provide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4"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20"/>
          <w:szCs w:val="20"/>
          <w:color w:val="auto"/>
        </w:rPr>
        <w:t xml:space="preserve">information with respect to such stockholder and its candidate for nomination as required by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and (c) provide any updates or supplements to such notice at the times and in the forms required by this </w:t>
      </w:r>
      <w:r>
        <w:rPr>
          <w:rFonts w:ascii="Arial" w:cs="Arial" w:eastAsia="Arial" w:hAnsi="Arial"/>
          <w:sz w:val="20"/>
          <w:szCs w:val="20"/>
          <w:u w:val="single" w:color="auto"/>
          <w:color w:val="auto"/>
        </w:rPr>
        <w:t>Section 2.5</w:t>
      </w:r>
      <w:r>
        <w:rPr>
          <w:rFonts w:ascii="Arial" w:cs="Arial" w:eastAsia="Arial" w:hAnsi="Arial"/>
          <w:sz w:val="20"/>
          <w:szCs w:val="20"/>
          <w:color w:val="auto"/>
        </w:rPr>
        <w:t>. To be timely, a stockholder’s notice for nominations to be made at a special meeting must be delivered to, or mailed and received at, the principal executive offices of Mobia, in each case addressed to the attention of Secretary of Mobia, not earlier than the one hundred twentieth (120th) day prior to such special meeting and not later than the ninetieth (90th) day prior to such special meeting or, if later, the tenth (10th) day following the day on which public disclosure (as defined in Section 2.4) of the date of such special meeting was first made.</w:t>
      </w:r>
    </w:p>
    <w:p>
      <w:pPr>
        <w:spacing w:after="0" w:line="173" w:lineRule="exact"/>
        <w:rPr>
          <w:sz w:val="20"/>
          <w:szCs w:val="20"/>
          <w:color w:val="auto"/>
        </w:rPr>
      </w:pPr>
    </w:p>
    <w:p>
      <w:pPr>
        <w:jc w:val="both"/>
        <w:ind w:firstLine="1304"/>
        <w:spacing w:after="0" w:line="262" w:lineRule="auto"/>
        <w:tabs>
          <w:tab w:leader="none" w:pos="195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78" w:lineRule="exact"/>
        <w:rPr>
          <w:rFonts w:ascii="Arial" w:cs="Arial" w:eastAsia="Arial" w:hAnsi="Arial"/>
          <w:sz w:val="20"/>
          <w:szCs w:val="20"/>
          <w:color w:val="auto"/>
        </w:rPr>
      </w:pPr>
    </w:p>
    <w:p>
      <w:pPr>
        <w:jc w:val="both"/>
        <w:ind w:firstLine="1304"/>
        <w:spacing w:after="0" w:line="255" w:lineRule="auto"/>
        <w:tabs>
          <w:tab w:leader="none" w:pos="1819"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no event may a Nominating Person provide Timely Notice with respect to a greater number of director candidates than are subject to election by stockholders at the applicable meeting. If Mobia shall, subsequent to such notice, increase the number of directors subject to election at the meeting, such notice as to any additional nominees shall be due on</w:t>
      </w:r>
    </w:p>
    <w:p>
      <w:pPr>
        <w:spacing w:after="0"/>
        <w:rPr>
          <w:sz w:val="20"/>
          <w:szCs w:val="20"/>
          <w:color w:val="auto"/>
        </w:rPr>
      </w:pPr>
      <w:r>
        <w:rPr>
          <w:rFonts w:ascii="Arial" w:cs="Arial" w:eastAsia="Arial" w:hAnsi="Arial"/>
          <w:sz w:val="19"/>
          <w:szCs w:val="19"/>
          <w:color w:val="auto"/>
        </w:rPr>
        <w:t xml:space="preserve">the later of (i) the conclusion of the time period for Timely Notice for an annual meeting, (ii) the date set forth in </w:t>
      </w:r>
      <w:r>
        <w:rPr>
          <w:rFonts w:ascii="Arial" w:cs="Arial" w:eastAsia="Arial" w:hAnsi="Arial"/>
          <w:sz w:val="19"/>
          <w:szCs w:val="19"/>
          <w:u w:val="single" w:color="auto"/>
          <w:color w:val="auto"/>
        </w:rPr>
        <w:t>Section 2.5(ii)</w:t>
      </w:r>
      <w:r>
        <w:rPr>
          <w:rFonts w:ascii="Arial" w:cs="Arial" w:eastAsia="Arial" w:hAnsi="Arial"/>
          <w:sz w:val="19"/>
          <w:szCs w:val="19"/>
          <w:color w:val="auto"/>
        </w:rPr>
        <w:t xml:space="preserve"> or</w:t>
      </w:r>
    </w:p>
    <w:p>
      <w:pPr>
        <w:spacing w:after="0" w:line="11" w:lineRule="exact"/>
        <w:rPr>
          <w:sz w:val="20"/>
          <w:szCs w:val="20"/>
          <w:color w:val="auto"/>
        </w:rPr>
      </w:pPr>
    </w:p>
    <w:p>
      <w:pPr>
        <w:ind w:firstLine="8"/>
        <w:spacing w:after="0" w:line="267" w:lineRule="auto"/>
        <w:tabs>
          <w:tab w:leader="none" w:pos="333" w:val="left"/>
        </w:tabs>
        <w:numPr>
          <w:ilvl w:val="0"/>
          <w:numId w:val="19"/>
        </w:numPr>
        <w:rPr>
          <w:rFonts w:ascii="Arial" w:cs="Arial" w:eastAsia="Arial" w:hAnsi="Arial"/>
          <w:sz w:val="20"/>
          <w:szCs w:val="20"/>
          <w:u w:val="single" w:color="auto"/>
          <w:color w:val="auto"/>
        </w:rPr>
      </w:pPr>
      <w:r>
        <w:rPr>
          <w:rFonts w:ascii="Arial" w:cs="Arial" w:eastAsia="Arial" w:hAnsi="Arial"/>
          <w:sz w:val="20"/>
          <w:szCs w:val="20"/>
          <w:color w:val="auto"/>
        </w:rPr>
        <w:t xml:space="preserve">for a special meeting, or (iii) the tenth (10th) day following the date of public disclosure (as defined in </w:t>
      </w:r>
      <w:r>
        <w:rPr>
          <w:rFonts w:ascii="Arial" w:cs="Arial" w:eastAsia="Arial" w:hAnsi="Arial"/>
          <w:sz w:val="20"/>
          <w:szCs w:val="20"/>
          <w:u w:val="single" w:color="auto"/>
          <w:color w:val="auto"/>
        </w:rPr>
        <w:t>Section 2.4</w:t>
      </w:r>
      <w:r>
        <w:rPr>
          <w:rFonts w:ascii="Arial" w:cs="Arial" w:eastAsia="Arial" w:hAnsi="Arial"/>
          <w:sz w:val="20"/>
          <w:szCs w:val="20"/>
          <w:color w:val="auto"/>
        </w:rPr>
        <w:t>) of such increase.</w:t>
      </w:r>
    </w:p>
    <w:p>
      <w:pPr>
        <w:spacing w:after="0" w:line="172" w:lineRule="exact"/>
        <w:rPr>
          <w:rFonts w:ascii="Arial" w:cs="Arial" w:eastAsia="Arial" w:hAnsi="Arial"/>
          <w:sz w:val="20"/>
          <w:szCs w:val="20"/>
          <w:u w:val="single" w:color="auto"/>
          <w:color w:val="auto"/>
        </w:rPr>
      </w:pPr>
    </w:p>
    <w:p>
      <w:pPr>
        <w:ind w:left="1820" w:hanging="516"/>
        <w:spacing w:after="0"/>
        <w:tabs>
          <w:tab w:leader="none" w:pos="1820" w:val="left"/>
        </w:tabs>
        <w:numPr>
          <w:ilvl w:val="1"/>
          <w:numId w:val="19"/>
        </w:numPr>
        <w:rPr>
          <w:rFonts w:ascii="Arial" w:cs="Arial" w:eastAsia="Arial" w:hAnsi="Arial"/>
          <w:sz w:val="20"/>
          <w:szCs w:val="20"/>
          <w:color w:val="auto"/>
        </w:rPr>
      </w:pPr>
      <w:r>
        <w:rPr>
          <w:rFonts w:ascii="Arial" w:cs="Arial" w:eastAsia="Arial" w:hAnsi="Arial"/>
          <w:sz w:val="20"/>
          <w:szCs w:val="20"/>
          <w:color w:val="auto"/>
        </w:rPr>
        <w:t xml:space="preserve">To be in proper form for purposes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a stockholder’s notice to the Secretary of Mobia shall</w:t>
      </w:r>
    </w:p>
    <w:p>
      <w:pPr>
        <w:spacing w:after="0" w:line="1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set forth:</w:t>
      </w:r>
    </w:p>
    <w:p>
      <w:pPr>
        <w:spacing w:after="0" w:line="238" w:lineRule="exact"/>
        <w:rPr>
          <w:rFonts w:ascii="Arial" w:cs="Arial" w:eastAsia="Arial" w:hAnsi="Arial"/>
          <w:sz w:val="20"/>
          <w:szCs w:val="20"/>
          <w:color w:val="auto"/>
        </w:rPr>
      </w:pPr>
    </w:p>
    <w:p>
      <w:pPr>
        <w:jc w:val="both"/>
        <w:ind w:firstLine="1952"/>
        <w:spacing w:after="0" w:line="250" w:lineRule="auto"/>
        <w:tabs>
          <w:tab w:leader="none" w:pos="2596" w:val="left"/>
        </w:tabs>
        <w:numPr>
          <w:ilvl w:val="2"/>
          <w:numId w:val="19"/>
        </w:numPr>
        <w:rPr>
          <w:rFonts w:ascii="Arial" w:cs="Arial" w:eastAsia="Arial" w:hAnsi="Arial"/>
          <w:sz w:val="22"/>
          <w:szCs w:val="22"/>
          <w:color w:val="auto"/>
        </w:rPr>
      </w:pPr>
      <w:r>
        <w:rPr>
          <w:rFonts w:ascii="Arial" w:cs="Arial" w:eastAsia="Arial" w:hAnsi="Arial"/>
          <w:sz w:val="20"/>
          <w:szCs w:val="20"/>
          <w:color w:val="auto"/>
        </w:rPr>
        <w:t xml:space="preserve">As to each Nominating Person (as defined below), the Stockholder Information (as defined in </w:t>
      </w:r>
      <w:r>
        <w:rPr>
          <w:rFonts w:ascii="Arial" w:cs="Arial" w:eastAsia="Arial" w:hAnsi="Arial"/>
          <w:sz w:val="20"/>
          <w:szCs w:val="20"/>
          <w:u w:val="single" w:color="auto"/>
          <w:color w:val="auto"/>
        </w:rPr>
        <w:t>Section 2.4(iii)(a)</w:t>
      </w:r>
      <w:r>
        <w:rPr>
          <w:rFonts w:ascii="Arial" w:cs="Arial" w:eastAsia="Arial" w:hAnsi="Arial"/>
          <w:sz w:val="20"/>
          <w:szCs w:val="20"/>
          <w:color w:val="auto"/>
        </w:rPr>
        <w:t xml:space="preserve">, except that for purposes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the term “Nominating Person” shall be substituted for the term “Proposing Person” in all places it appears in </w:t>
      </w:r>
      <w:r>
        <w:rPr>
          <w:rFonts w:ascii="Arial" w:cs="Arial" w:eastAsia="Arial" w:hAnsi="Arial"/>
          <w:sz w:val="20"/>
          <w:szCs w:val="20"/>
          <w:u w:val="single" w:color="auto"/>
          <w:color w:val="auto"/>
        </w:rPr>
        <w:t>Section 2.4(iii)(a)</w:t>
      </w:r>
      <w:r>
        <w:rPr>
          <w:rFonts w:ascii="Arial" w:cs="Arial" w:eastAsia="Arial" w:hAnsi="Arial"/>
          <w:sz w:val="20"/>
          <w:szCs w:val="20"/>
          <w:color w:val="auto"/>
        </w:rPr>
        <w:t>);</w:t>
      </w:r>
    </w:p>
    <w:p>
      <w:pPr>
        <w:spacing w:after="0" w:line="202" w:lineRule="exact"/>
        <w:rPr>
          <w:rFonts w:ascii="Arial" w:cs="Arial" w:eastAsia="Arial" w:hAnsi="Arial"/>
          <w:sz w:val="22"/>
          <w:szCs w:val="22"/>
          <w:color w:val="auto"/>
        </w:rPr>
      </w:pPr>
    </w:p>
    <w:p>
      <w:pPr>
        <w:jc w:val="both"/>
        <w:ind w:firstLine="1952"/>
        <w:spacing w:after="0" w:line="249" w:lineRule="auto"/>
        <w:tabs>
          <w:tab w:leader="none" w:pos="2515" w:val="left"/>
        </w:tabs>
        <w:numPr>
          <w:ilvl w:val="2"/>
          <w:numId w:val="19"/>
        </w:numPr>
        <w:rPr>
          <w:rFonts w:ascii="Arial" w:cs="Arial" w:eastAsia="Arial" w:hAnsi="Arial"/>
          <w:sz w:val="22"/>
          <w:szCs w:val="22"/>
          <w:color w:val="auto"/>
        </w:rPr>
      </w:pPr>
      <w:r>
        <w:rPr>
          <w:rFonts w:ascii="Arial" w:cs="Arial" w:eastAsia="Arial" w:hAnsi="Arial"/>
          <w:sz w:val="20"/>
          <w:szCs w:val="20"/>
          <w:color w:val="auto"/>
        </w:rPr>
        <w:t xml:space="preserve">As to each Nominating Person, any Disclosable Interests (as defined in </w:t>
      </w:r>
      <w:r>
        <w:rPr>
          <w:rFonts w:ascii="Arial" w:cs="Arial" w:eastAsia="Arial" w:hAnsi="Arial"/>
          <w:sz w:val="20"/>
          <w:szCs w:val="20"/>
          <w:u w:val="single" w:color="auto"/>
          <w:color w:val="auto"/>
        </w:rPr>
        <w:t>Section 2.4(iii)(b),</w:t>
      </w:r>
      <w:r>
        <w:rPr>
          <w:rFonts w:ascii="Arial" w:cs="Arial" w:eastAsia="Arial" w:hAnsi="Arial"/>
          <w:sz w:val="20"/>
          <w:szCs w:val="20"/>
          <w:color w:val="auto"/>
        </w:rPr>
        <w:t xml:space="preserve"> except that for purposes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the term “Nominating Person” shall be substituted for the term “Proposing Person” in all places it appears in </w:t>
      </w:r>
      <w:r>
        <w:rPr>
          <w:rFonts w:ascii="Arial" w:cs="Arial" w:eastAsia="Arial" w:hAnsi="Arial"/>
          <w:sz w:val="20"/>
          <w:szCs w:val="20"/>
          <w:u w:val="single" w:color="auto"/>
          <w:color w:val="auto"/>
        </w:rPr>
        <w:t>Section 2.4(iii)(b)</w:t>
      </w:r>
      <w:r>
        <w:rPr>
          <w:rFonts w:ascii="Arial" w:cs="Arial" w:eastAsia="Arial" w:hAnsi="Arial"/>
          <w:sz w:val="20"/>
          <w:szCs w:val="20"/>
          <w:color w:val="auto"/>
        </w:rPr>
        <w:t xml:space="preserve"> and the disclosure with respect to the business to be brought before the meeting in </w:t>
      </w:r>
      <w:r>
        <w:rPr>
          <w:rFonts w:ascii="Arial" w:cs="Arial" w:eastAsia="Arial" w:hAnsi="Arial"/>
          <w:sz w:val="20"/>
          <w:szCs w:val="20"/>
          <w:u w:val="single" w:color="auto"/>
          <w:color w:val="auto"/>
        </w:rPr>
        <w:t>Section 2.4(iii)(c)</w:t>
      </w:r>
      <w:r>
        <w:rPr>
          <w:rFonts w:ascii="Arial" w:cs="Arial" w:eastAsia="Arial" w:hAnsi="Arial"/>
          <w:sz w:val="20"/>
          <w:szCs w:val="20"/>
          <w:color w:val="auto"/>
        </w:rPr>
        <w:t xml:space="preserve"> shall be made with respect to nomination of each person for election as a director at the meeting), and, </w:t>
      </w:r>
      <w:r>
        <w:rPr>
          <w:rFonts w:ascii="Arial" w:cs="Arial" w:eastAsia="Arial" w:hAnsi="Arial"/>
          <w:sz w:val="20"/>
          <w:szCs w:val="20"/>
          <w:i w:val="1"/>
          <w:iCs w:val="1"/>
          <w:color w:val="auto"/>
        </w:rPr>
        <w:t>provided that</w:t>
      </w:r>
      <w:r>
        <w:rPr>
          <w:rFonts w:ascii="Arial" w:cs="Arial" w:eastAsia="Arial" w:hAnsi="Arial"/>
          <w:sz w:val="20"/>
          <w:szCs w:val="20"/>
          <w:color w:val="auto"/>
        </w:rPr>
        <w:t>, in lieu of including the information set forth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2.4(iii)(a)(G)</w:t>
      </w:r>
      <w:r>
        <w:rPr>
          <w:rFonts w:ascii="Arial" w:cs="Arial" w:eastAsia="Arial" w:hAnsi="Arial"/>
          <w:sz w:val="20"/>
          <w:szCs w:val="20"/>
          <w:color w:val="auto"/>
        </w:rPr>
        <w:t>, the Nominating Person’s notice for purposes of</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shall include a representation as to whether the Nominating Person intends, or is part of a group which intends, to deliver a proxy statement and solicit the holders of shares representing at least sixty-seven percent (67%) of the voting power of shares entitled to vote on the election of directors in support of director nominees other than Mobia’s nominees in accordance with Rule 14a-19 promulgated under the Exchange Act; and</w:t>
      </w:r>
    </w:p>
    <w:p>
      <w:pPr>
        <w:spacing w:after="0" w:line="212" w:lineRule="exact"/>
        <w:rPr>
          <w:rFonts w:ascii="Arial" w:cs="Arial" w:eastAsia="Arial" w:hAnsi="Arial"/>
          <w:sz w:val="22"/>
          <w:szCs w:val="22"/>
          <w:color w:val="auto"/>
        </w:rPr>
      </w:pPr>
    </w:p>
    <w:p>
      <w:pPr>
        <w:ind w:left="2500" w:hanging="548"/>
        <w:spacing w:after="0"/>
        <w:tabs>
          <w:tab w:leader="none" w:pos="2500" w:val="left"/>
        </w:tabs>
        <w:numPr>
          <w:ilvl w:val="2"/>
          <w:numId w:val="19"/>
        </w:numPr>
        <w:rPr>
          <w:rFonts w:ascii="Arial" w:cs="Arial" w:eastAsia="Arial" w:hAnsi="Arial"/>
          <w:sz w:val="22"/>
          <w:szCs w:val="22"/>
          <w:color w:val="auto"/>
        </w:rPr>
      </w:pPr>
      <w:r>
        <w:rPr>
          <w:rFonts w:ascii="Arial" w:cs="Arial" w:eastAsia="Arial" w:hAnsi="Arial"/>
          <w:sz w:val="20"/>
          <w:szCs w:val="20"/>
          <w:color w:val="auto"/>
        </w:rPr>
        <w:t>As to each candidate whom a Nominating Person proposes to nominate for election as a director,</w:t>
      </w:r>
    </w:p>
    <w:p>
      <w:pPr>
        <w:jc w:val="both"/>
        <w:spacing w:after="0" w:line="253" w:lineRule="auto"/>
        <w:rPr>
          <w:rFonts w:ascii="Arial" w:cs="Arial" w:eastAsia="Arial" w:hAnsi="Arial"/>
          <w:sz w:val="22"/>
          <w:szCs w:val="22"/>
          <w:color w:val="auto"/>
        </w:rPr>
      </w:pPr>
      <w:r>
        <w:rPr>
          <w:rFonts w:ascii="Arial" w:cs="Arial" w:eastAsia="Arial" w:hAnsi="Arial"/>
          <w:sz w:val="20"/>
          <w:szCs w:val="20"/>
          <w:color w:val="auto"/>
        </w:rPr>
        <w:t xml:space="preserve">(A) all information with respect to such candidate for nomination that would be required to be set forth in a stockholder’s notice pursuant to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4" w:right="339" w:bottom="1440" w:gutter="0" w:footer="0" w:header="0"/>
        </w:sectPr>
      </w:pPr>
    </w:p>
    <w:bookmarkStart w:id="23" w:name="page24"/>
    <w:bookmarkEnd w:id="23"/>
    <w:p>
      <w:pPr>
        <w:jc w:val="both"/>
        <w:spacing w:after="0" w:line="252" w:lineRule="auto"/>
        <w:rPr>
          <w:sz w:val="20"/>
          <w:szCs w:val="20"/>
          <w:color w:val="auto"/>
        </w:rPr>
      </w:pPr>
      <w:r>
        <w:rPr>
          <w:rFonts w:ascii="Arial" w:cs="Arial" w:eastAsia="Arial" w:hAnsi="Arial"/>
          <w:sz w:val="20"/>
          <w:szCs w:val="20"/>
          <w:color w:val="auto"/>
        </w:rPr>
        <w:t xml:space="preserve">election of directors in a contested election pursuant to Section 14(a) under the Exchange Act (including such candidate’s written consent to being named in the proxy statement and accompanying proxy card relating to Mobia’s next meeting of the stockholders at which directors are to be elected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w:t>
      </w:r>
      <w:r>
        <w:rPr>
          <w:rFonts w:ascii="Arial" w:cs="Arial" w:eastAsia="Arial" w:hAnsi="Arial"/>
          <w:sz w:val="20"/>
          <w:szCs w:val="20"/>
          <w:u w:val="single" w:color="auto"/>
          <w:color w:val="auto"/>
        </w:rPr>
        <w:t>Section 2.6(i).</w:t>
      </w:r>
    </w:p>
    <w:p>
      <w:pPr>
        <w:spacing w:after="0" w:line="176" w:lineRule="exact"/>
        <w:rPr>
          <w:sz w:val="20"/>
          <w:szCs w:val="20"/>
          <w:color w:val="auto"/>
        </w:rPr>
      </w:pPr>
    </w:p>
    <w:p>
      <w:pPr>
        <w:jc w:val="both"/>
        <w:ind w:firstLine="1304"/>
        <w:spacing w:after="0" w:line="259" w:lineRule="auto"/>
        <w:tabs>
          <w:tab w:leader="none" w:pos="1875"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the term “</w:t>
      </w:r>
      <w:r>
        <w:rPr>
          <w:rFonts w:ascii="Arial" w:cs="Arial" w:eastAsia="Arial" w:hAnsi="Arial"/>
          <w:sz w:val="20"/>
          <w:szCs w:val="20"/>
          <w:b w:val="1"/>
          <w:bCs w:val="1"/>
          <w:i w:val="1"/>
          <w:iCs w:val="1"/>
          <w:color w:val="auto"/>
        </w:rPr>
        <w:t>Nominating Person</w:t>
      </w:r>
      <w:r>
        <w:rPr>
          <w:rFonts w:ascii="Arial" w:cs="Arial" w:eastAsia="Arial" w:hAnsi="Arial"/>
          <w:sz w:val="20"/>
          <w:szCs w:val="20"/>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other participant (as defined in paragraphs (a)(ii)-(vi) of Instruction 3 to Item 4 of Schedule 14A) with such stockholder in such solicitation.</w:t>
      </w:r>
    </w:p>
    <w:p>
      <w:pPr>
        <w:spacing w:after="0" w:line="181" w:lineRule="exact"/>
        <w:rPr>
          <w:rFonts w:ascii="Arial" w:cs="Arial" w:eastAsia="Arial" w:hAnsi="Arial"/>
          <w:sz w:val="20"/>
          <w:szCs w:val="20"/>
          <w:color w:val="auto"/>
        </w:rPr>
      </w:pPr>
    </w:p>
    <w:p>
      <w:pPr>
        <w:jc w:val="both"/>
        <w:ind w:firstLine="1304"/>
        <w:spacing w:after="0" w:line="262" w:lineRule="auto"/>
        <w:tabs>
          <w:tab w:leader="none" w:pos="2043"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78" w:lineRule="exact"/>
        <w:rPr>
          <w:rFonts w:ascii="Arial" w:cs="Arial" w:eastAsia="Arial" w:hAnsi="Arial"/>
          <w:sz w:val="20"/>
          <w:szCs w:val="20"/>
          <w:color w:val="auto"/>
        </w:rPr>
      </w:pPr>
    </w:p>
    <w:p>
      <w:pPr>
        <w:jc w:val="both"/>
        <w:ind w:firstLine="1304"/>
        <w:spacing w:after="0" w:line="249" w:lineRule="auto"/>
        <w:tabs>
          <w:tab w:leader="none" w:pos="1855"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with attention to the Secretary of Mobia at, the principal executive offices of Mobia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Mobia’s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96" w:lineRule="exact"/>
        <w:rPr>
          <w:rFonts w:ascii="Arial" w:cs="Arial" w:eastAsia="Arial" w:hAnsi="Arial"/>
          <w:sz w:val="20"/>
          <w:szCs w:val="20"/>
          <w:color w:val="auto"/>
        </w:rPr>
      </w:pPr>
    </w:p>
    <w:p>
      <w:pPr>
        <w:jc w:val="both"/>
        <w:ind w:firstLine="1304"/>
        <w:spacing w:after="0" w:line="262" w:lineRule="auto"/>
        <w:tabs>
          <w:tab w:leader="none" w:pos="1771"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In addition to the requirements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with respect to any nomination proposed to be made at a meeting, each Nominating Person shall comply with all applicable requirements of the Exchange Act with respect to any such nominations. Notwithstanding the foregoing provisions of this </w:t>
      </w:r>
      <w:r>
        <w:rPr>
          <w:rFonts w:ascii="Arial" w:cs="Arial" w:eastAsia="Arial" w:hAnsi="Arial"/>
          <w:sz w:val="20"/>
          <w:szCs w:val="20"/>
          <w:u w:val="single" w:color="auto"/>
          <w:color w:val="auto"/>
        </w:rPr>
        <w:t>Section 2.5</w:t>
      </w:r>
      <w:r>
        <w:rPr>
          <w:rFonts w:ascii="Arial" w:cs="Arial" w:eastAsia="Arial" w:hAnsi="Arial"/>
          <w:sz w:val="20"/>
          <w:szCs w:val="20"/>
          <w:color w:val="auto"/>
        </w:rPr>
        <w:t>, unless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4" w:right="339" w:bottom="1440" w:gutter="0" w:footer="0" w:header="0"/>
        </w:sectPr>
      </w:pPr>
    </w:p>
    <w:bookmarkStart w:id="24" w:name="page25"/>
    <w:bookmarkEnd w:id="24"/>
    <w:p>
      <w:pPr>
        <w:jc w:val="both"/>
        <w:ind w:firstLine="8"/>
        <w:spacing w:after="0" w:line="250" w:lineRule="auto"/>
        <w:tabs>
          <w:tab w:leader="none" w:pos="344"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 Nominating Person shall solicit proxies in support of director nominees other than Mobia’s nominees unless such Nominating Person has complied with Rule 14a-19 promulgated under the Exchange Act in connection with the solicitation of such proxies, including the provision to Mobia of notices required thereunder in a timely manner and (b) if any Nominating Person (A) provides notice pursuant to Rule 14a-19(b) promulgated under the Exchange Act and (B) subsequently fails to comply with the requirements of Rule 14a-19(a)(2) or Rule 14a-19(a)(3) promulgated under the Exchange Act, including the provision to Mobia of notices required thereunder in a timely manner, or fails to timely provide reasonable evidence sufficient to satisfy Mobia that such Nominating Person has met the requirements of Rule 14a-19(a)(3) promulgated under the Exchange Act in accordance with the following sentence, then the nomination of each such proposed nominee shall be disregarded, notwithstanding that the nominee is included as a nominee in Mobia’s proxy statement, notice of meeting or other proxy materials for any annual meeting (or any supplement thereto) and notwithstanding that proxies or votes in respect of the election of such proposed nominees may have been received by Mobia (which proxies and votes shall be disregarded). If any Nominating Person provides notice pursuant to Rule 14a-19(b) promulgated under the Exchange Act, such Nominating Person shall deliver to Mobia, no later than seven (7) business days prior to the applicable meeting, reasonable evidence that it has met the requirements of Rule 14a-19(a)(3) promulgated under the Exchange Act.</w:t>
      </w:r>
    </w:p>
    <w:p>
      <w:pPr>
        <w:spacing w:after="0" w:line="183" w:lineRule="exact"/>
        <w:rPr>
          <w:sz w:val="20"/>
          <w:szCs w:val="20"/>
          <w:color w:val="auto"/>
        </w:rPr>
      </w:pPr>
    </w:p>
    <w:p>
      <w:pPr>
        <w:ind w:right="220" w:firstLine="648"/>
        <w:spacing w:after="0" w:line="286"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Additional Requirements for Valid Nomination of Candidates to Serve as Director and, if Elected, to be Seated as</w:t>
      </w:r>
      <w:r>
        <w:rPr>
          <w:rFonts w:ascii="Arial" w:cs="Arial" w:eastAsia="Arial" w:hAnsi="Arial"/>
          <w:sz w:val="20"/>
          <w:szCs w:val="20"/>
          <w:color w:val="auto"/>
        </w:rPr>
        <w:t xml:space="preserve"> </w:t>
      </w:r>
      <w:r>
        <w:rPr>
          <w:rFonts w:ascii="Arial" w:cs="Arial" w:eastAsia="Arial" w:hAnsi="Arial"/>
          <w:sz w:val="20"/>
          <w:szCs w:val="20"/>
          <w:u w:val="single" w:color="auto"/>
          <w:color w:val="auto"/>
        </w:rPr>
        <w:t>Directors</w:t>
      </w:r>
      <w:r>
        <w:rPr>
          <w:rFonts w:ascii="Arial" w:cs="Arial" w:eastAsia="Arial" w:hAnsi="Arial"/>
          <w:sz w:val="20"/>
          <w:szCs w:val="20"/>
          <w:color w:val="auto"/>
        </w:rPr>
        <w:t>.</w:t>
      </w:r>
    </w:p>
    <w:p>
      <w:pPr>
        <w:spacing w:after="0" w:line="46" w:lineRule="exact"/>
        <w:rPr>
          <w:sz w:val="20"/>
          <w:szCs w:val="20"/>
          <w:color w:val="auto"/>
        </w:rPr>
      </w:pPr>
    </w:p>
    <w:p>
      <w:pPr>
        <w:jc w:val="both"/>
        <w:ind w:firstLine="1304"/>
        <w:spacing w:after="0" w:line="250" w:lineRule="auto"/>
        <w:tabs>
          <w:tab w:leader="none" w:pos="1823" w:val="left"/>
        </w:tabs>
        <w:numPr>
          <w:ilvl w:val="1"/>
          <w:numId w:val="22"/>
        </w:numPr>
        <w:rPr>
          <w:rFonts w:ascii="Arial" w:cs="Arial" w:eastAsia="Arial" w:hAnsi="Arial"/>
          <w:sz w:val="20"/>
          <w:szCs w:val="20"/>
          <w:color w:val="auto"/>
        </w:rPr>
      </w:pPr>
      <w:r>
        <w:rPr>
          <w:rFonts w:ascii="Arial" w:cs="Arial" w:eastAsia="Arial" w:hAnsi="Arial"/>
          <w:sz w:val="20"/>
          <w:szCs w:val="20"/>
          <w:color w:val="auto"/>
        </w:rPr>
        <w:t xml:space="preserve">To be eligible to be a candidate for election as a director of Mobia at an annual or special meeting, a candidate shall be nominated in the manner prescribed in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the candidate for nomination, whether nominated by the Board or by a stockholder of record, shall have previously delivered (in accordance with the time period prescribed for delivery in a notice to such candidate given by or on behalf of the Board), to the Secretary of Mobia at the principal executive offices of Mobia, (a) a completed written questionnaire (in the form provided by Mobia upon written request therefor) with respect to the background, qualifications, stock ownership and independence of such proposed nominee and (b) a written representation and agreement (in the form provided by Mobia upon written request therefor) that such candidate for nomination</w:t>
      </w:r>
    </w:p>
    <w:p>
      <w:pPr>
        <w:spacing w:after="0" w:line="1" w:lineRule="exact"/>
        <w:rPr>
          <w:rFonts w:ascii="Arial" w:cs="Arial" w:eastAsia="Arial" w:hAnsi="Arial"/>
          <w:sz w:val="20"/>
          <w:szCs w:val="20"/>
          <w:color w:val="auto"/>
        </w:rPr>
      </w:pPr>
    </w:p>
    <w:p>
      <w:pPr>
        <w:jc w:val="both"/>
        <w:ind w:firstLine="8"/>
        <w:spacing w:after="0" w:line="248" w:lineRule="auto"/>
        <w:tabs>
          <w:tab w:leader="none" w:pos="299" w:val="left"/>
        </w:tabs>
        <w:numPr>
          <w:ilvl w:val="0"/>
          <w:numId w:val="23"/>
        </w:numPr>
        <w:rPr>
          <w:rFonts w:ascii="Arial" w:cs="Arial" w:eastAsia="Arial" w:hAnsi="Arial"/>
          <w:sz w:val="20"/>
          <w:szCs w:val="20"/>
          <w:color w:val="auto"/>
        </w:rPr>
      </w:pPr>
      <w:r>
        <w:rPr>
          <w:rFonts w:ascii="Arial" w:cs="Arial" w:eastAsia="Arial" w:hAnsi="Arial"/>
          <w:sz w:val="20"/>
          <w:szCs w:val="20"/>
          <w:color w:val="auto"/>
        </w:rPr>
        <w:t>is not and, if elected as a director during his or her term of office, will not become a party to (A) any agreement, arrangement or understanding with, and has not given and will not give any commitment or assurance to, any person or entity as to how such proposed nominee, if elected as a director of Mobia, will act or vote on any issue or question (a “</w:t>
      </w:r>
      <w:r>
        <w:rPr>
          <w:rFonts w:ascii="Arial" w:cs="Arial" w:eastAsia="Arial" w:hAnsi="Arial"/>
          <w:sz w:val="20"/>
          <w:szCs w:val="20"/>
          <w:b w:val="1"/>
          <w:bCs w:val="1"/>
          <w:i w:val="1"/>
          <w:iCs w:val="1"/>
          <w:color w:val="auto"/>
        </w:rPr>
        <w:t>Voting Commitment</w:t>
      </w:r>
      <w:r>
        <w:rPr>
          <w:rFonts w:ascii="Arial" w:cs="Arial" w:eastAsia="Arial" w:hAnsi="Arial"/>
          <w:sz w:val="20"/>
          <w:szCs w:val="20"/>
          <w:color w:val="auto"/>
        </w:rPr>
        <w:t>”) or (B) any Voting Commitment that could limit or interfere with such proposed nominee’s ability to comply, if elected as a director of Mobia, with such proposed nominee’s fiduciary duties under applicable law, (2) is not, and will not become a party to, any agreement, arrangement or understanding with any person or entity other than Mobia with respect to any direct or indirect compensation or reimbursement for service as a director of Mobia that has not been disclosed therein, (3) if elected as a director of Mobia, will comply with all applicable corporate governance, conflict of interest, confidentiality, stock ownership and trading and other policies and guidelines of Mobia applicable to directors and in effect during such person’s term in office as a director (and, if requested by any candidate for nomination, the Secretary of Mobia shall provide to such candidate for nomination all such policies and guidelines then in effect), and (4) if elected as director of Mobia, intends to serve the entire term until the next meeting at which such candidate would face re-election.</w:t>
      </w:r>
    </w:p>
    <w:p>
      <w:pPr>
        <w:spacing w:after="0" w:line="194" w:lineRule="exact"/>
        <w:rPr>
          <w:rFonts w:ascii="Arial" w:cs="Arial" w:eastAsia="Arial" w:hAnsi="Arial"/>
          <w:sz w:val="20"/>
          <w:szCs w:val="20"/>
          <w:color w:val="auto"/>
        </w:rPr>
      </w:pPr>
    </w:p>
    <w:p>
      <w:pPr>
        <w:ind w:firstLine="1304"/>
        <w:spacing w:after="0" w:line="271" w:lineRule="auto"/>
        <w:tabs>
          <w:tab w:leader="none" w:pos="1817" w:val="left"/>
        </w:tabs>
        <w:numPr>
          <w:ilvl w:val="1"/>
          <w:numId w:val="23"/>
        </w:numPr>
        <w:rPr>
          <w:rFonts w:ascii="Arial" w:cs="Arial" w:eastAsia="Arial" w:hAnsi="Arial"/>
          <w:sz w:val="18"/>
          <w:szCs w:val="18"/>
          <w:color w:val="auto"/>
        </w:rPr>
      </w:pPr>
      <w:r>
        <w:rPr>
          <w:rFonts w:ascii="Arial" w:cs="Arial" w:eastAsia="Arial" w:hAnsi="Arial"/>
          <w:sz w:val="20"/>
          <w:szCs w:val="20"/>
          <w:color w:val="auto"/>
        </w:rPr>
        <w:t>The Board may also require any proposed candidate for nomination as a director to furnish such other information as may reasonably be requested by the Board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4"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20"/>
          <w:szCs w:val="20"/>
          <w:color w:val="auto"/>
        </w:rPr>
        <w:t>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Mobia or to comply with the director qualification standards and additional selection criteria in accordance with Mobia’s Corporate Governance Guidelines. Such other information shall be delivered to, or mailed and received at, the principal executive offices of Mobia, in each case addressed to the attention of Secretary of Mobia (or any other office specified by Mobia in any public announcement) not later than five (5) business days after the request by the Board has been delivered to, or mailed and received by, the Nominating Person.</w:t>
      </w:r>
    </w:p>
    <w:p>
      <w:pPr>
        <w:spacing w:after="0" w:line="173" w:lineRule="exact"/>
        <w:rPr>
          <w:sz w:val="20"/>
          <w:szCs w:val="20"/>
          <w:color w:val="auto"/>
        </w:rPr>
      </w:pPr>
    </w:p>
    <w:p>
      <w:pPr>
        <w:jc w:val="both"/>
        <w:ind w:firstLine="1304"/>
        <w:spacing w:after="0" w:line="249" w:lineRule="auto"/>
        <w:tabs>
          <w:tab w:leader="none" w:pos="1925"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A candidate for nomination as a director shall further update and supplement the materials delivered pursuant to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if necessary, so that the information provided or required to be provided pursuant to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at, the principal executive offices of Mobia, in each case addressed to the attention of Secretary of Mobia (or any other office specified by Mobia in any public announcement)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Mobia’s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w:t>
      </w:r>
    </w:p>
    <w:p>
      <w:pPr>
        <w:spacing w:after="0" w:line="200" w:lineRule="exact"/>
        <w:rPr>
          <w:rFonts w:ascii="Arial" w:cs="Arial" w:eastAsia="Arial" w:hAnsi="Arial"/>
          <w:sz w:val="20"/>
          <w:szCs w:val="20"/>
          <w:color w:val="auto"/>
        </w:rPr>
      </w:pPr>
    </w:p>
    <w:p>
      <w:pPr>
        <w:jc w:val="both"/>
        <w:ind w:firstLine="1304"/>
        <w:spacing w:after="0" w:line="262" w:lineRule="auto"/>
        <w:tabs>
          <w:tab w:leader="none" w:pos="1805"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In addition to the requirements of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with respect to any nomination proposed to be made at a meeting, each Nominating Person shall comply with all applicable requirements of the Exchange Act with respect to any such nominations.</w:t>
      </w:r>
    </w:p>
    <w:p>
      <w:pPr>
        <w:spacing w:after="0" w:line="178" w:lineRule="exact"/>
        <w:rPr>
          <w:rFonts w:ascii="Arial" w:cs="Arial" w:eastAsia="Arial" w:hAnsi="Arial"/>
          <w:sz w:val="20"/>
          <w:szCs w:val="20"/>
          <w:color w:val="auto"/>
        </w:rPr>
      </w:pPr>
    </w:p>
    <w:p>
      <w:pPr>
        <w:jc w:val="both"/>
        <w:ind w:firstLine="1304"/>
        <w:spacing w:after="0" w:line="251" w:lineRule="auto"/>
        <w:tabs>
          <w:tab w:leader="none" w:pos="1809"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No candidate shall be eligible for nomination as a director of Mobia unless such candidate for nomination and the Nominating Person seeking to place such candidate’s name in nomination has complied with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as applicable. The Chair shall, if the facts warrant, determine that a nomination was not properly made in accordance with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this </w:t>
      </w:r>
      <w:r>
        <w:rPr>
          <w:rFonts w:ascii="Arial" w:cs="Arial" w:eastAsia="Arial" w:hAnsi="Arial"/>
          <w:sz w:val="20"/>
          <w:szCs w:val="20"/>
          <w:u w:val="single" w:color="auto"/>
          <w:color w:val="auto"/>
        </w:rPr>
        <w:t>Section 2.6</w:t>
      </w:r>
      <w:r>
        <w:rPr>
          <w:rFonts w:ascii="Arial" w:cs="Arial" w:eastAsia="Arial" w:hAnsi="Arial"/>
          <w:sz w:val="20"/>
          <w:szCs w:val="20"/>
          <w:color w:val="auto"/>
        </w:rPr>
        <w:t>, and if the Chair should so determine, the Chair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92" w:lineRule="exact"/>
        <w:rPr>
          <w:rFonts w:ascii="Arial" w:cs="Arial" w:eastAsia="Arial" w:hAnsi="Arial"/>
          <w:sz w:val="20"/>
          <w:szCs w:val="20"/>
          <w:color w:val="auto"/>
        </w:rPr>
      </w:pPr>
    </w:p>
    <w:p>
      <w:pPr>
        <w:jc w:val="both"/>
        <w:ind w:firstLine="1304"/>
        <w:spacing w:after="0" w:line="262" w:lineRule="auto"/>
        <w:tabs>
          <w:tab w:leader="none" w:pos="1896"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Notwithstanding anything in these bylaws to the contrary, no candidate for nomination by a Nominating Person shall be eligible to be seated as a director of Mobia unless nominated and elected in accordance with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this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4" w:right="339" w:bottom="1440" w:gutter="0" w:footer="0" w:header="0"/>
        </w:sectPr>
      </w:pPr>
    </w:p>
    <w:bookmarkStart w:id="26" w:name="page27"/>
    <w:bookmarkEnd w:id="26"/>
    <w:p>
      <w:pPr>
        <w:ind w:left="660"/>
        <w:spacing w:after="0"/>
        <w:tabs>
          <w:tab w:leader="none" w:pos="11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Unless otherwise provided by law, the Certificate of Incorporation or these bylaws, the notice of any meeting of stockholders shall be sent or otherwise given in accordance with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spacing w:after="0" w:line="17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u w:val="single" w:color="auto"/>
          <w:color w:val="auto"/>
        </w:rPr>
        <w:t>Quorum</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of stockholders, then either (i) the person presiding over the meeting or</w:t>
      </w:r>
    </w:p>
    <w:p>
      <w:pPr>
        <w:spacing w:after="0" w:line="3" w:lineRule="exact"/>
        <w:rPr>
          <w:sz w:val="20"/>
          <w:szCs w:val="20"/>
          <w:color w:val="auto"/>
        </w:rPr>
      </w:pPr>
    </w:p>
    <w:p>
      <w:pPr>
        <w:jc w:val="both"/>
        <w:ind w:firstLine="8"/>
        <w:spacing w:after="0" w:line="249" w:lineRule="auto"/>
        <w:tabs>
          <w:tab w:leader="none" w:pos="277"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a majority in voting power of the stockholders entitled to vote at the meeting, present in person, or by remote communication, if applicable, or represented by proxy, shall have power to recess the meeting or adjourn the meeting from time to time in the manner provided in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of these bylaws until a quorum is present or represented. At any recessed or adjourned meeting at which a quorum is present or represented, any business may be transacted that might have been transacted at the meeting as originally noticed.</w:t>
      </w:r>
    </w:p>
    <w:p>
      <w:pPr>
        <w:spacing w:after="0" w:line="19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u w:val="single" w:color="auto"/>
          <w:color w:val="auto"/>
        </w:rPr>
        <w:t>Adjourned Meeting; Notice</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 are provided in any other manner permitted by the DGCL. At any adjourned meeting, Mobia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8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u w:val="single" w:color="auto"/>
          <w:color w:val="auto"/>
        </w:rPr>
        <w:t>Conduct of Business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date and time of the opening and the closing of the polls for each matter upon which the stockholders will vote at a meeting shall be announced at the meeting by the person presiding over the meeting. The Board may adopt by resolution such rules and regulations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4" w:right="339" w:bottom="1440"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20"/>
          <w:szCs w:val="20"/>
          <w:color w:val="auto"/>
        </w:rPr>
        <w:t>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auto"/>
        </w:rPr>
        <w:t>Voting</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Except as may be otherwise provided in the Certificate of Incorporation, these bylaws or the DGCL, each stockholder shall be entitled to one (1) vote for each share of capital stock held by such stockholder.</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Mobia, or applicable law or pursuant to any regulation applicable to Mobia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u w:val="single" w:color="auto"/>
          <w:color w:val="auto"/>
        </w:rPr>
        <w:t>Record Date for Stockholder Meetings and Other Purposes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In order that Mobia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4" w:right="339" w:bottom="1440" w:gutter="0" w:footer="0" w:header="0"/>
        </w:sectPr>
      </w:pPr>
    </w:p>
    <w:bookmarkStart w:id="28" w:name="page29"/>
    <w:bookmarkEnd w:id="28"/>
    <w:p>
      <w:pPr>
        <w:jc w:val="both"/>
        <w:spacing w:after="0" w:line="250" w:lineRule="auto"/>
        <w:rPr>
          <w:sz w:val="20"/>
          <w:szCs w:val="20"/>
          <w:color w:val="auto"/>
        </w:rPr>
      </w:pPr>
      <w:r>
        <w:rPr>
          <w:rFonts w:ascii="Arial" w:cs="Arial" w:eastAsia="Arial" w:hAnsi="Arial"/>
          <w:sz w:val="20"/>
          <w:szCs w:val="20"/>
          <w:color w:val="auto"/>
        </w:rPr>
        <w:t>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In order that Mobia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u w:val="single" w:color="auto"/>
          <w:color w:val="auto"/>
        </w:rPr>
        <w:t>Proxies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Any stockholder directly or indirectly soliciting proxies from other stockholders must use a proxy card color other than white, which shall be reserved for the exclusive use by the Board.</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u w:val="single" w:color="auto"/>
          <w:color w:val="auto"/>
        </w:rPr>
        <w:t>List of Stockholders Entitled to Vote</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Mobia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Mobia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4" w:right="339" w:bottom="1440" w:gutter="0" w:footer="0" w:header="0"/>
        </w:sectPr>
      </w:pPr>
    </w:p>
    <w:bookmarkStart w:id="29" w:name="page30"/>
    <w:bookmarkEnd w:id="29"/>
    <w:p>
      <w:pPr>
        <w:jc w:val="both"/>
        <w:ind w:firstLine="8"/>
        <w:spacing w:after="0" w:line="254" w:lineRule="auto"/>
        <w:tabs>
          <w:tab w:leader="none" w:pos="243"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on a reasonably accessible electronic network, provided that the information required to gain access to such list is provided with the notice of the meeting, or (ii) during ordinary business hours, at Mobia’s principal executive office. In the event that Mobia determines to make the list available on an electronic network, Mobia may take reasonable steps to ensure that such information is available only to stockholders of Mobia.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to vote in person or by proxy at any meeting of stockholders.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u w:val="single" w:color="auto"/>
          <w:color w:val="auto"/>
        </w:rPr>
        <w:t>Inspectors of Election</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Before any meeting of stockholders, Mobia shall appoint an inspector or inspectors of election to act at the meeting or its adjournment and make a written report thereof. Mobia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Such inspectors shall:</w:t>
      </w:r>
    </w:p>
    <w:p>
      <w:pPr>
        <w:spacing w:after="0" w:line="229" w:lineRule="exact"/>
        <w:rPr>
          <w:sz w:val="20"/>
          <w:szCs w:val="20"/>
          <w:color w:val="auto"/>
        </w:rPr>
      </w:pPr>
    </w:p>
    <w:p>
      <w:pPr>
        <w:ind w:firstLine="1304"/>
        <w:spacing w:after="0" w:line="271" w:lineRule="auto"/>
        <w:tabs>
          <w:tab w:leader="none" w:pos="1919"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determine the number of shares outstanding and the voting power of each, the number of shares represented at the meeting and the validity of any proxies and ballots;</w:t>
      </w:r>
    </w:p>
    <w:p>
      <w:pPr>
        <w:spacing w:after="0" w:line="169" w:lineRule="exact"/>
        <w:rPr>
          <w:rFonts w:ascii="Arial" w:cs="Arial" w:eastAsia="Arial" w:hAnsi="Arial"/>
          <w:sz w:val="20"/>
          <w:szCs w:val="20"/>
          <w:color w:val="auto"/>
        </w:rPr>
      </w:pPr>
    </w:p>
    <w:p>
      <w:pPr>
        <w:ind w:left="1740" w:hanging="436"/>
        <w:spacing w:after="0"/>
        <w:tabs>
          <w:tab w:leader="none" w:pos="17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count all votes or ballots;</w:t>
      </w:r>
    </w:p>
    <w:p>
      <w:pPr>
        <w:spacing w:after="0" w:line="229" w:lineRule="exact"/>
        <w:rPr>
          <w:rFonts w:ascii="Arial" w:cs="Arial" w:eastAsia="Arial" w:hAnsi="Arial"/>
          <w:sz w:val="20"/>
          <w:szCs w:val="20"/>
          <w:color w:val="auto"/>
        </w:rPr>
      </w:pPr>
    </w:p>
    <w:p>
      <w:pPr>
        <w:ind w:left="1780" w:hanging="476"/>
        <w:spacing w:after="0"/>
        <w:tabs>
          <w:tab w:leader="none" w:pos="17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count and tabulate all votes;</w:t>
      </w:r>
    </w:p>
    <w:p>
      <w:pPr>
        <w:spacing w:after="0" w:line="215" w:lineRule="exact"/>
        <w:rPr>
          <w:rFonts w:ascii="Arial" w:cs="Arial" w:eastAsia="Arial" w:hAnsi="Arial"/>
          <w:sz w:val="20"/>
          <w:szCs w:val="20"/>
          <w:color w:val="auto"/>
        </w:rPr>
      </w:pPr>
    </w:p>
    <w:p>
      <w:pPr>
        <w:ind w:firstLine="1304"/>
        <w:spacing w:after="0" w:line="286" w:lineRule="auto"/>
        <w:tabs>
          <w:tab w:leader="none" w:pos="1881"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determine and retain for a reasonable period a record of the disposition of any challenges made to any determination by the inspector(s); and</w:t>
      </w:r>
    </w:p>
    <w:p>
      <w:pPr>
        <w:spacing w:after="0" w:line="140" w:lineRule="exact"/>
        <w:rPr>
          <w:rFonts w:ascii="Arial" w:cs="Arial" w:eastAsia="Arial" w:hAnsi="Arial"/>
          <w:sz w:val="20"/>
          <w:szCs w:val="20"/>
          <w:color w:val="auto"/>
        </w:rPr>
      </w:pPr>
    </w:p>
    <w:p>
      <w:pPr>
        <w:ind w:right="20" w:firstLine="1304"/>
        <w:spacing w:after="0" w:line="286" w:lineRule="auto"/>
        <w:tabs>
          <w:tab w:leader="none" w:pos="177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certify its or their determination of the number of shares represented at the meeting and its or their count of all votes and ballots.</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Each inspector, before entering upon the discharge of the duties of inspector, must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u w:val="single" w:color="auto"/>
          <w:color w:val="auto"/>
        </w:rPr>
        <w:t>Delivery to Mobia.</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Whenever this Article II requires one or more persons (including a record or beneficial owner of stock) to deliver a document or information to Mobia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Mobia shall not be required to accept delivery of any document not in such written form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14"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20"/>
          <w:szCs w:val="20"/>
          <w:color w:val="auto"/>
        </w:rPr>
        <w:t>so delivered. For the avoidance of doubt, Mobia expressly opts out of Section 116 of the DGCL with respect to the delivery of information and documents to Mobia required by this Article II.</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 - Directors</w:t>
      </w:r>
    </w:p>
    <w:p>
      <w:pPr>
        <w:spacing w:after="0" w:line="23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u w:val="single" w:color="auto"/>
          <w:color w:val="auto"/>
        </w:rPr>
        <w:t>Powers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Except as otherwise provided by the Certificate of Incorporation or the DGCL, the business and affairs of Mobia shall be managed by or under the direction of the Board.</w:t>
      </w:r>
    </w:p>
    <w:p>
      <w:pPr>
        <w:spacing w:after="0" w:line="15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u w:val="single" w:color="auto"/>
          <w:color w:val="auto"/>
        </w:rPr>
        <w:t>Number of Directors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u w:val="single" w:color="auto"/>
          <w:color w:val="auto"/>
        </w:rPr>
        <w:t>Election, Qualification and Term of Office of Directors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9"/>
          <w:szCs w:val="19"/>
          <w:u w:val="single" w:color="auto"/>
          <w:color w:val="auto"/>
        </w:rPr>
        <w:t>Resignation and Vacancies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Any director may resign at any time upon notice given in writing or by electronic transmission to Mobia.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9"/>
          <w:szCs w:val="19"/>
          <w:u w:val="single" w:color="auto"/>
          <w:color w:val="auto"/>
        </w:rPr>
        <w:t>Place of Meetings; Meetings by Telephone</w:t>
      </w:r>
      <w:r>
        <w:rPr>
          <w:rFonts w:ascii="Arial" w:cs="Arial" w:eastAsia="Arial" w:hAnsi="Arial"/>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Board may hold meetings, both regular and special, either within or outside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14" w:right="3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u w:val="single" w:color="auto"/>
          <w:color w:val="auto"/>
        </w:rPr>
        <w:t>Regular Meetings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1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u w:val="single" w:color="auto"/>
          <w:color w:val="auto"/>
        </w:rPr>
        <w:t>Special Meetings; Notice</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Special meetings of the Board for any purpose or purposes may be called at any time by the Chair, the Chief Executive Officer, the President, the Secretary or a majority of the total number of directors constituting the Board.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Notice of the time and place of special meetings shall be:</w:t>
      </w:r>
    </w:p>
    <w:p>
      <w:pPr>
        <w:spacing w:after="0" w:line="229" w:lineRule="exact"/>
        <w:rPr>
          <w:sz w:val="20"/>
          <w:szCs w:val="20"/>
          <w:color w:val="auto"/>
        </w:rPr>
      </w:pPr>
    </w:p>
    <w:p>
      <w:pPr>
        <w:ind w:left="1700" w:hanging="396"/>
        <w:spacing w:after="0"/>
        <w:tabs>
          <w:tab w:leader="none" w:pos="1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229" w:lineRule="exact"/>
        <w:rPr>
          <w:rFonts w:ascii="Arial" w:cs="Arial" w:eastAsia="Arial" w:hAnsi="Arial"/>
          <w:sz w:val="20"/>
          <w:szCs w:val="20"/>
          <w:color w:val="auto"/>
        </w:rPr>
      </w:pPr>
    </w:p>
    <w:p>
      <w:pPr>
        <w:ind w:left="1780" w:hanging="476"/>
        <w:spacing w:after="0"/>
        <w:tabs>
          <w:tab w:leader="none" w:pos="17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sent by facsimile or electronic mail; or</w:t>
      </w:r>
    </w:p>
    <w:p>
      <w:pPr>
        <w:spacing w:after="0" w:line="229" w:lineRule="exact"/>
        <w:rPr>
          <w:rFonts w:ascii="Arial" w:cs="Arial" w:eastAsia="Arial" w:hAnsi="Arial"/>
          <w:sz w:val="20"/>
          <w:szCs w:val="20"/>
          <w:color w:val="auto"/>
        </w:rPr>
      </w:pPr>
    </w:p>
    <w:p>
      <w:pPr>
        <w:ind w:left="1800" w:hanging="496"/>
        <w:spacing w:after="0"/>
        <w:tabs>
          <w:tab w:leader="none" w:pos="1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sent by other means of electronic transmission,</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directed to each director at that director’s address, telephone number, facsimile number or electronic mail address, or other address for electronic transmission, as the case may be, as shown on Mobia’s records.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 notice is (i) delivered personally by hand, by courier or by telephone, (ii) sent by facsimile or electronic mail, or</w:t>
      </w:r>
    </w:p>
    <w:p>
      <w:pPr>
        <w:spacing w:after="0" w:line="31" w:lineRule="exact"/>
        <w:rPr>
          <w:sz w:val="20"/>
          <w:szCs w:val="20"/>
          <w:color w:val="auto"/>
        </w:rPr>
      </w:pPr>
    </w:p>
    <w:p>
      <w:pPr>
        <w:jc w:val="both"/>
        <w:ind w:firstLine="8"/>
        <w:spacing w:after="0" w:line="253" w:lineRule="auto"/>
        <w:tabs>
          <w:tab w:leader="none" w:pos="322"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Mobia’s principal executive office) nor the purpose of the meeting.</w:t>
      </w:r>
    </w:p>
    <w:p>
      <w:pPr>
        <w:spacing w:after="0" w:line="17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9"/>
          <w:szCs w:val="19"/>
          <w:u w:val="single" w:color="auto"/>
          <w:color w:val="auto"/>
        </w:rPr>
        <w:t>Quorum</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14"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20"/>
          <w:szCs w:val="20"/>
          <w:color w:val="auto"/>
        </w:rPr>
        <w:t>at any meeting of the Board, then the directors present thereat may adjourn the meeting from time to time, without notice other than announcement at the meeting, until a quorum is present.</w:t>
      </w:r>
    </w:p>
    <w:p>
      <w:pPr>
        <w:spacing w:after="0" w:line="14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9"/>
          <w:szCs w:val="19"/>
          <w:u w:val="single" w:color="auto"/>
          <w:color w:val="auto"/>
        </w:rPr>
        <w:t>Board Action without a Meeting</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u w:val="single" w:color="auto"/>
          <w:color w:val="auto"/>
        </w:rPr>
        <w:t>Fees and Compensation of Directors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Unless otherwise restricted by the Certificate of Incorporation or these bylaws, the Board shall have the authority to fix the compensation, including fees and reimbursement of expenses, of directors for services to Mobia in any capacity.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 - Committees</w:t>
      </w:r>
    </w:p>
    <w:p>
      <w:pPr>
        <w:spacing w:after="0" w:line="23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u w:val="single" w:color="auto"/>
          <w:color w:val="auto"/>
        </w:rPr>
        <w:t>Committees of Directors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The Board may designate one (1) or more committees, each committee to consist, of one (1) or more of the directors of Mobia.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Mobia, and may authorize the seal of Mobia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Mobia.</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Committee Minutes</w:t>
      </w:r>
      <w:r>
        <w:rPr>
          <w:rFonts w:ascii="Arial" w:cs="Arial" w:eastAsia="Arial" w:hAnsi="Arial"/>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committee shall keep regular minutes of its meetings and report the same to the Board when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4" w:right="339" w:bottom="1440" w:gutter="0" w:footer="0" w:header="0"/>
        </w:sectPr>
      </w:pPr>
    </w:p>
    <w:bookmarkStart w:id="33" w:name="page34"/>
    <w:bookmarkEnd w:id="33"/>
    <w:p>
      <w:pPr>
        <w:ind w:left="660"/>
        <w:spacing w:after="0"/>
        <w:tabs>
          <w:tab w:leader="none" w:pos="11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u w:val="single" w:color="auto"/>
          <w:color w:val="auto"/>
        </w:rPr>
        <w:t>Meetings and Actions of Committees</w:t>
      </w:r>
      <w:r>
        <w:rPr>
          <w:rFonts w:ascii="Arial" w:cs="Arial" w:eastAsia="Arial" w:hAnsi="Arial"/>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Meetings and actions of committees shall be governed by, and held and taken in accordance with, the provisions of:</w:t>
      </w:r>
    </w:p>
    <w:p>
      <w:pPr>
        <w:spacing w:after="0" w:line="216" w:lineRule="exact"/>
        <w:rPr>
          <w:sz w:val="20"/>
          <w:szCs w:val="20"/>
          <w:color w:val="auto"/>
        </w:rPr>
      </w:pPr>
    </w:p>
    <w:p>
      <w:pPr>
        <w:ind w:left="1860" w:hanging="394"/>
        <w:spacing w:after="0"/>
        <w:tabs>
          <w:tab w:leader="none" w:pos="18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(place of meetings; meetings by telephone);</w:t>
      </w:r>
    </w:p>
    <w:p>
      <w:pPr>
        <w:spacing w:after="0" w:line="229" w:lineRule="exact"/>
        <w:rPr>
          <w:rFonts w:ascii="Arial" w:cs="Arial" w:eastAsia="Arial" w:hAnsi="Arial"/>
          <w:sz w:val="20"/>
          <w:szCs w:val="20"/>
          <w:color w:val="auto"/>
        </w:rPr>
      </w:pPr>
    </w:p>
    <w:p>
      <w:pPr>
        <w:ind w:left="1860" w:hanging="440"/>
        <w:spacing w:after="0"/>
        <w:tabs>
          <w:tab w:leader="none" w:pos="18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(regular meetings);</w:t>
      </w:r>
    </w:p>
    <w:p>
      <w:pPr>
        <w:spacing w:after="0" w:line="215" w:lineRule="exact"/>
        <w:rPr>
          <w:rFonts w:ascii="Arial" w:cs="Arial" w:eastAsia="Arial" w:hAnsi="Arial"/>
          <w:sz w:val="20"/>
          <w:szCs w:val="20"/>
          <w:color w:val="auto"/>
        </w:rPr>
      </w:pPr>
    </w:p>
    <w:p>
      <w:pPr>
        <w:ind w:left="1860" w:hanging="475"/>
        <w:spacing w:after="0"/>
        <w:tabs>
          <w:tab w:leader="none" w:pos="186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(special meetings; notice);</w:t>
      </w:r>
    </w:p>
    <w:p>
      <w:pPr>
        <w:spacing w:after="0" w:line="229" w:lineRule="exact"/>
        <w:rPr>
          <w:rFonts w:ascii="Arial" w:cs="Arial" w:eastAsia="Arial" w:hAnsi="Arial"/>
          <w:sz w:val="20"/>
          <w:szCs w:val="20"/>
          <w:color w:val="auto"/>
        </w:rPr>
      </w:pPr>
    </w:p>
    <w:p>
      <w:pPr>
        <w:ind w:left="1880" w:hanging="498"/>
        <w:spacing w:after="0"/>
        <w:tabs>
          <w:tab w:leader="none" w:pos="1880"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(board action without a meeting); and</w:t>
      </w:r>
    </w:p>
    <w:p>
      <w:pPr>
        <w:spacing w:after="0" w:line="229" w:lineRule="exact"/>
        <w:rPr>
          <w:rFonts w:ascii="Arial" w:cs="Arial" w:eastAsia="Arial" w:hAnsi="Arial"/>
          <w:sz w:val="20"/>
          <w:szCs w:val="20"/>
          <w:color w:val="auto"/>
        </w:rPr>
      </w:pPr>
    </w:p>
    <w:p>
      <w:pPr>
        <w:ind w:left="1880" w:hanging="460"/>
        <w:spacing w:after="0"/>
        <w:tabs>
          <w:tab w:leader="none" w:pos="1880"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Section 7.13</w:t>
      </w:r>
      <w:r>
        <w:rPr>
          <w:rFonts w:ascii="Arial" w:cs="Arial" w:eastAsia="Arial" w:hAnsi="Arial"/>
          <w:sz w:val="20"/>
          <w:szCs w:val="20"/>
          <w:color w:val="auto"/>
        </w:rPr>
        <w:t xml:space="preserve"> (waiver of notice),</w:t>
      </w:r>
    </w:p>
    <w:p>
      <w:pPr>
        <w:spacing w:after="0" w:line="216"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 xml:space="preserve">with such changes in the context of those bylaws as are necessary to substitute the committee and its members for the Board and its members. </w:t>
      </w:r>
      <w:r>
        <w:rPr>
          <w:rFonts w:ascii="Arial" w:cs="Arial" w:eastAsia="Arial" w:hAnsi="Arial"/>
          <w:sz w:val="20"/>
          <w:szCs w:val="20"/>
          <w:i w:val="1"/>
          <w:iCs w:val="1"/>
          <w:color w:val="auto"/>
        </w:rPr>
        <w:t>However</w:t>
      </w:r>
      <w:r>
        <w:rPr>
          <w:rFonts w:ascii="Arial" w:cs="Arial" w:eastAsia="Arial" w:hAnsi="Arial"/>
          <w:sz w:val="20"/>
          <w:szCs w:val="20"/>
          <w:color w:val="auto"/>
        </w:rPr>
        <w:t>:</w:t>
      </w:r>
    </w:p>
    <w:p>
      <w:pPr>
        <w:spacing w:after="0" w:line="140" w:lineRule="exact"/>
        <w:rPr>
          <w:sz w:val="20"/>
          <w:szCs w:val="20"/>
          <w:color w:val="auto"/>
        </w:rPr>
      </w:pPr>
    </w:p>
    <w:p>
      <w:pPr>
        <w:ind w:firstLine="1304"/>
        <w:spacing w:after="0" w:line="286" w:lineRule="auto"/>
        <w:tabs>
          <w:tab w:leader="none" w:pos="1823"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time of regular meetings of committees may be determined either by resolution of the Board or by resolution of the committee;</w:t>
      </w:r>
    </w:p>
    <w:p>
      <w:pPr>
        <w:spacing w:after="0" w:line="153" w:lineRule="exact"/>
        <w:rPr>
          <w:rFonts w:ascii="Arial" w:cs="Arial" w:eastAsia="Arial" w:hAnsi="Arial"/>
          <w:sz w:val="20"/>
          <w:szCs w:val="20"/>
          <w:color w:val="auto"/>
        </w:rPr>
      </w:pPr>
    </w:p>
    <w:p>
      <w:pPr>
        <w:ind w:left="1760" w:hanging="456"/>
        <w:spacing w:after="0"/>
        <w:tabs>
          <w:tab w:leader="none" w:pos="17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special meetings of committees may also be called by resolution of the Board or the Chair of the applicable</w:t>
      </w:r>
    </w:p>
    <w:p>
      <w:pPr>
        <w:spacing w:after="0" w:line="1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committee; and</w:t>
      </w:r>
    </w:p>
    <w:p>
      <w:pPr>
        <w:spacing w:after="0" w:line="211" w:lineRule="exact"/>
        <w:rPr>
          <w:rFonts w:ascii="Arial" w:cs="Arial" w:eastAsia="Arial" w:hAnsi="Arial"/>
          <w:sz w:val="20"/>
          <w:szCs w:val="20"/>
          <w:color w:val="auto"/>
        </w:rPr>
      </w:pPr>
    </w:p>
    <w:p>
      <w:pPr>
        <w:jc w:val="both"/>
        <w:ind w:firstLine="1304"/>
        <w:spacing w:after="0" w:line="262" w:lineRule="auto"/>
        <w:tabs>
          <w:tab w:leader="none" w:pos="1906"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9"/>
          <w:szCs w:val="19"/>
          <w:u w:val="single" w:color="auto"/>
          <w:color w:val="auto"/>
        </w:rPr>
        <w:t>Subcommittees.</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 - Officers</w:t>
      </w:r>
    </w:p>
    <w:p>
      <w:pPr>
        <w:spacing w:after="0" w:line="21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u w:val="single" w:color="auto"/>
          <w:color w:val="auto"/>
        </w:rPr>
        <w:t>Officers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officers of Mobia shall include a President (who may be named a Chief Executive Officer) and a Secretary. Mobia may also have, at the discretion of the Board, a Chair of the Board, a Vice Chair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Mobia.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4" w:right="339" w:bottom="1440" w:gutter="0" w:footer="0" w:header="0"/>
        </w:sectPr>
      </w:pPr>
    </w:p>
    <w:bookmarkStart w:id="34" w:name="page35"/>
    <w:bookmarkEnd w:id="34"/>
    <w:p>
      <w:pPr>
        <w:ind w:left="660"/>
        <w:spacing w:after="0"/>
        <w:tabs>
          <w:tab w:leader="none" w:pos="11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Appointment of Officers</w:t>
      </w:r>
      <w:r>
        <w:rPr>
          <w:rFonts w:ascii="Arial" w:cs="Arial" w:eastAsia="Arial" w:hAnsi="Arial"/>
          <w:sz w:val="19"/>
          <w:szCs w:val="19"/>
          <w:color w:val="auto"/>
        </w:rPr>
        <w:t>.</w:t>
      </w:r>
    </w:p>
    <w:p>
      <w:pPr>
        <w:spacing w:after="0" w:line="22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 xml:space="preserve">The Board shall appoint the officers of Mobia, except such officers as may be appointed in accordance with the provisions of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of these bylaws.</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u w:val="single" w:color="auto"/>
          <w:color w:val="auto"/>
        </w:rPr>
        <w:t>Subordinate Officers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The Board may appoint, or empower the Chief Executive Officer or, in the absence of a Chief Executive Officer, the President, to appoint, such other officers and agents as the business of Mobia may require. Each of such officers and agents shall hold office for such period, have such authority, and perform such duties as are provided in these bylaws or as the Board may from time to time determine.</w:t>
      </w:r>
    </w:p>
    <w:p>
      <w:pPr>
        <w:spacing w:after="0" w:line="1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u w:val="single" w:color="auto"/>
          <w:color w:val="auto"/>
        </w:rPr>
        <w:t>Removal and Resignation of Officers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Any officer may resign at any time by giving written notice to Mobia.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Mobia under any contract to which the officer is a party.</w:t>
      </w:r>
    </w:p>
    <w:p>
      <w:pPr>
        <w:spacing w:after="0" w:line="1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Vacancies in Offices</w:t>
      </w:r>
      <w:r>
        <w:rPr>
          <w:rFonts w:ascii="Arial" w:cs="Arial" w:eastAsia="Arial" w:hAnsi="Arial"/>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Any vacancy occurring in any office of Mobia shall be filled by the Board or as provided in </w:t>
      </w:r>
      <w:r>
        <w:rPr>
          <w:rFonts w:ascii="Arial" w:cs="Arial" w:eastAsia="Arial" w:hAnsi="Arial"/>
          <w:sz w:val="20"/>
          <w:szCs w:val="20"/>
          <w:u w:val="single" w:color="auto"/>
          <w:color w:val="auto"/>
        </w:rPr>
        <w:t>Section 5.2</w:t>
      </w:r>
      <w:r>
        <w:rPr>
          <w:rFonts w:ascii="Arial" w:cs="Arial" w:eastAsia="Arial" w:hAnsi="Arial"/>
          <w:sz w:val="20"/>
          <w:szCs w:val="20"/>
          <w:color w:val="auto"/>
        </w:rPr>
        <w:t>.</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9"/>
          <w:szCs w:val="19"/>
          <w:u w:val="single" w:color="auto"/>
          <w:color w:val="auto"/>
        </w:rPr>
        <w:t>Representation of Shares of Other Corporations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The Chair of the Board, the Chief Executive Officer, or the President of Mobia,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9"/>
          <w:szCs w:val="19"/>
          <w:u w:val="single" w:color="auto"/>
          <w:color w:val="auto"/>
        </w:rPr>
        <w:t>Authority and Duties of Officers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All officers of Mobia shall respectively have such authority and perform such duties in the management of the business of Mobia as may be provided herein or designated from time to time by the Board and, to the extent not so provided, as generally pertain to their respective offices, subject to the control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14" w:right="339" w:bottom="1440" w:gutter="0" w:footer="0" w:header="0"/>
        </w:sectPr>
      </w:pPr>
    </w:p>
    <w:bookmarkStart w:id="35" w:name="page36"/>
    <w:bookmarkEnd w:id="35"/>
    <w:p>
      <w:pPr>
        <w:ind w:left="660"/>
        <w:spacing w:after="0"/>
        <w:tabs>
          <w:tab w:leader="none" w:pos="114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9"/>
          <w:szCs w:val="19"/>
          <w:u w:val="single" w:color="auto"/>
          <w:color w:val="auto"/>
        </w:rPr>
        <w:t>Compensation.</w:t>
      </w:r>
    </w:p>
    <w:p>
      <w:pPr>
        <w:spacing w:after="0" w:line="2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compensation of the officers of Mobia for their services as such shall be fixed from time to time by or at the direction of the Board. An officer of Mobia shall not be prevented from receiving compensation by reason of the fact that he or she is also a director of Mobia.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 - Records</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stock ledger consisting of one or more records in which the names of all of Mobia’s stockholders of record, the address and number of shares registered in the name of each such stockholder, and all issuances and transfers of stock of Mobia are recorded in accordance with Section 224 of the DGCL shall be administered by or on behalf of Mobia. Any records administered by or on behalf of Mobia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200" w:lineRule="exact"/>
        <w:rPr>
          <w:sz w:val="20"/>
          <w:szCs w:val="20"/>
          <w:color w:val="auto"/>
        </w:rPr>
      </w:pPr>
    </w:p>
    <w:p>
      <w:pPr>
        <w:spacing w:after="0" w:line="210"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Article VII - General Matters</w:t>
      </w:r>
    </w:p>
    <w:p>
      <w:pPr>
        <w:spacing w:after="0" w:line="23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Execution of Corporate Contracts and Instruments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Board, except as otherwise provided in these bylaws, may authorize any officer or officers, or agent or agents, to enter into any contract or execute any instrument in the name of and on behalf of Mobia; such authority may be general or confined to specific instances.</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u w:val="single" w:color="auto"/>
          <w:color w:val="auto"/>
        </w:rPr>
        <w:t>Stock Certificates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The shares of Mobia shall be represented by certificates, provided that the Board by resolution may provide that some or all of the shares of any class or series of stock of Mobia shall be uncertificated. Certificates for the shares of stock, if any, shall be in such form as is consistent with the Certificate of Incorporation and applicable law</w:t>
      </w:r>
      <w:r>
        <w:rPr>
          <w:rFonts w:ascii="Arial" w:cs="Arial" w:eastAsia="Arial" w:hAnsi="Arial"/>
          <w:sz w:val="17"/>
          <w:szCs w:val="17"/>
          <w:color w:val="auto"/>
        </w:rPr>
        <w:t>.</w:t>
      </w:r>
      <w:r>
        <w:rPr>
          <w:rFonts w:ascii="Arial" w:cs="Arial" w:eastAsia="Arial" w:hAnsi="Arial"/>
          <w:sz w:val="20"/>
          <w:szCs w:val="20"/>
          <w:color w:val="auto"/>
        </w:rPr>
        <w:t xml:space="preserve"> Every holder of stock represented by a certificate shall be entitled to have a certificate signed by, or in the name of Mobia by, any two officers authorized to sign stock certificates representing the number of shares registered in certificate form. The Chair or Vice Chair of the Board, the President (who may be named a Chief Executive Officer), the Secretary, the Chief Financial Officer, or any Treasurer of Mobia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Mobia with the same effect as if he or she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14" w:right="339" w:bottom="1440" w:gutter="0" w:footer="0" w:header="0"/>
        </w:sectPr>
      </w:pPr>
    </w:p>
    <w:bookmarkStart w:id="36" w:name="page37"/>
    <w:bookmarkEnd w:id="36"/>
    <w:p>
      <w:pPr>
        <w:jc w:val="both"/>
        <w:ind w:firstLine="648"/>
        <w:spacing w:after="0" w:line="254" w:lineRule="auto"/>
        <w:rPr>
          <w:sz w:val="20"/>
          <w:szCs w:val="20"/>
          <w:color w:val="auto"/>
        </w:rPr>
      </w:pPr>
      <w:r>
        <w:rPr>
          <w:rFonts w:ascii="Arial" w:cs="Arial" w:eastAsia="Arial" w:hAnsi="Arial"/>
          <w:sz w:val="20"/>
          <w:szCs w:val="20"/>
          <w:color w:val="auto"/>
        </w:rPr>
        <w:t>Mobia may issue the whole or any part of its shares as partly paid and subject to call for the remainder of the consideration to be paid therefor. Upon the face or back of each stock certificate issued to represent any such partly paid shares, or upon the books and records of Mobia in the case of uncertificated partly paid shares, the total amount of the consideration to be paid therefor and the amount paid thereon shall be stated. Upon the declaration of any dividend on fully paid shares, Mobia shall declare a dividend upon partly paid shares of the same class, but only upon the basis of the percentage of the consideration actually paid thereon.</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Special Designation of Certificates.</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If Mobia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Mobia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Mobia shall issue to represent such class or series of stock (or, in the case of any uncertificated shares, included in the aforementioned notice) a statement that Mobia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7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u w:val="single" w:color="auto"/>
          <w:color w:val="auto"/>
        </w:rPr>
        <w:t>Lost Certificates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Except as provided in this Section 7.4, no new certificates for shares shall be issued to replace a previously issued certificate unless the latter is surrendered to Mobia and cancelled at the same time. Mobia may issue a new certificate of stock or uncertificated shares in the place of any certificate theretofore issued by it, alleged to have been lost, stolen or destroyed, and Mobia may require the owner of the lost, stolen or destroyed certificate, or such owner’s legal representative, to give Mobia a bond sufficient to indemnify it against any claim that may be made against it on account of the alleged loss, theft or destruction of any such certificate or the issuance of such new certificate or uncertificated shares.</w:t>
      </w:r>
    </w:p>
    <w:p>
      <w:pPr>
        <w:spacing w:after="0" w:line="17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9"/>
          <w:szCs w:val="19"/>
          <w:u w:val="single" w:color="auto"/>
          <w:color w:val="auto"/>
        </w:rPr>
        <w:t>Shares Without Certificates</w:t>
      </w:r>
    </w:p>
    <w:p>
      <w:pPr>
        <w:spacing w:after="0" w:line="22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Mobia may adopt a system of issuance, recordation and transfer of its shares of stock by electronic or other means not involving the issuance of certificates, provided the use of such system by Mobia is permitted in accordance with applicable law.</w:t>
      </w:r>
    </w:p>
    <w:p>
      <w:pPr>
        <w:spacing w:after="0" w:line="16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9"/>
          <w:szCs w:val="19"/>
          <w:u w:val="single" w:color="auto"/>
          <w:color w:val="auto"/>
        </w:rPr>
        <w:t>Construction; Definitions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4" w:right="339" w:bottom="1440" w:gutter="0" w:footer="0" w:header="0"/>
        </w:sectPr>
      </w:pPr>
    </w:p>
    <w:bookmarkStart w:id="37" w:name="page38"/>
    <w:bookmarkEnd w:id="37"/>
    <w:p>
      <w:pPr>
        <w:ind w:left="660"/>
        <w:spacing w:after="0"/>
        <w:tabs>
          <w:tab w:leader="none" w:pos="114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u w:val="single" w:color="auto"/>
          <w:color w:val="auto"/>
        </w:rPr>
        <w:t>Dividends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The Board, subject to any restrictions contained in either (i) the DGCL or (ii) the Certificate of Incorporation, may declare and pay dividends upon the shares of its capital stock. Dividends may be paid in cash, in property or in shares of Mobia’s capital stock.</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Board may set apart out of any of the funds of Mobia available for dividends a reserve or reserves for any proper purpose and may abolish any such reserve. Such purposes shall include but not be limited to equalizing dividends, repairing or maintaining any property of Mobia, and meeting contingencies.</w:t>
      </w:r>
    </w:p>
    <w:p>
      <w:pPr>
        <w:spacing w:after="0" w:line="15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9"/>
          <w:szCs w:val="19"/>
          <w:u w:val="single" w:color="auto"/>
          <w:color w:val="auto"/>
        </w:rPr>
        <w:t>Fiscal Year</w:t>
      </w:r>
      <w:r>
        <w:rPr>
          <w:rFonts w:ascii="Arial" w:cs="Arial" w:eastAsia="Arial" w:hAnsi="Arial"/>
          <w:sz w:val="19"/>
          <w:szCs w:val="19"/>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fiscal year of Mobia shall be fixed by resolution of the Board and may be changed by the Board.</w:t>
      </w:r>
    </w:p>
    <w:p>
      <w:pPr>
        <w:spacing w:after="0" w:line="21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9"/>
          <w:szCs w:val="19"/>
          <w:u w:val="single" w:color="auto"/>
          <w:color w:val="auto"/>
        </w:rPr>
        <w:t>Seal</w:t>
      </w:r>
      <w:r>
        <w:rPr>
          <w:rFonts w:ascii="Arial" w:cs="Arial" w:eastAsia="Arial" w:hAnsi="Arial"/>
          <w:sz w:val="19"/>
          <w:szCs w:val="19"/>
          <w:color w:val="auto"/>
        </w:rPr>
        <w:t>.</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Mobia may adopt a corporate seal, which shall be adopted and which may be altered by the Board. Mobia may use the corporate seal by causing it or a facsimile thereof to be impressed or affixed or in any other manner reproduced.</w:t>
      </w:r>
    </w:p>
    <w:p>
      <w:pPr>
        <w:spacing w:after="0" w:line="14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9"/>
          <w:szCs w:val="19"/>
          <w:u w:val="single" w:color="auto"/>
          <w:color w:val="auto"/>
        </w:rPr>
        <w:t>Transfer of Stock</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Shares of Mobia shall be transferable in the manner prescribed by law and in these bylaws. Shares of stock of Mobia shall be transferred on the books of Mobia only by the holder of record thereof or by such holder’s attorney duly authorized in writing, upon surrender to Mobia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Mobia may reasonably require, and accompanied by all necessary stock transfer stamps. No transfer of stock shall be valid as against Mobia for any purpose until it shall have been entered in the stock records of Mobia by an entry showing the names of the persons from and to whom it was transferred.</w:t>
      </w:r>
    </w:p>
    <w:p>
      <w:pPr>
        <w:spacing w:after="0" w:line="17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9"/>
          <w:szCs w:val="19"/>
          <w:u w:val="single" w:color="auto"/>
          <w:color w:val="auto"/>
        </w:rPr>
        <w:t>Stock Transfer Agreements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Mobia shall have power to enter into and perform any agreement with any number of stockholders of any one or more classes or series of stock of Mobia to restrict the transfer of shares of stock of Mobia of any one or more classes owned by such stockholders in any manner not prohibited by the DGCL.</w:t>
      </w:r>
    </w:p>
    <w:p>
      <w:pPr>
        <w:spacing w:after="0" w:line="17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u w:val="single" w:color="auto"/>
          <w:color w:val="auto"/>
        </w:rPr>
        <w:t>Registered Stockholders</w:t>
      </w:r>
      <w:r>
        <w:rPr>
          <w:rFonts w:ascii="Arial" w:cs="Arial" w:eastAsia="Arial" w:hAnsi="Arial"/>
          <w:sz w:val="19"/>
          <w:szCs w:val="19"/>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Mobia:</w:t>
      </w:r>
    </w:p>
    <w:p>
      <w:pPr>
        <w:spacing w:after="0" w:line="229" w:lineRule="exact"/>
        <w:rPr>
          <w:sz w:val="20"/>
          <w:szCs w:val="20"/>
          <w:color w:val="auto"/>
        </w:rPr>
      </w:pPr>
    </w:p>
    <w:p>
      <w:pPr>
        <w:ind w:firstLine="1304"/>
        <w:spacing w:after="0" w:line="286" w:lineRule="auto"/>
        <w:tabs>
          <w:tab w:leader="none" w:pos="1786" w:val="left"/>
        </w:tabs>
        <w:numPr>
          <w:ilvl w:val="0"/>
          <w:numId w:val="32"/>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to vote as such owner;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14" w:right="339" w:bottom="1440" w:gutter="0" w:footer="0" w:header="0"/>
        </w:sectPr>
      </w:pPr>
    </w:p>
    <w:bookmarkStart w:id="38" w:name="page39"/>
    <w:bookmarkEnd w:id="38"/>
    <w:p>
      <w:pPr>
        <w:jc w:val="both"/>
        <w:ind w:right="20" w:firstLine="1304"/>
        <w:spacing w:after="0" w:line="262" w:lineRule="auto"/>
        <w:tabs>
          <w:tab w:leader="none" w:pos="1799" w:val="left"/>
        </w:tabs>
        <w:numPr>
          <w:ilvl w:val="0"/>
          <w:numId w:val="33"/>
        </w:numPr>
        <w:rPr>
          <w:rFonts w:ascii="Arial" w:cs="Arial" w:eastAsia="Arial" w:hAnsi="Arial"/>
          <w:sz w:val="20"/>
          <w:szCs w:val="20"/>
          <w:color w:val="auto"/>
        </w:rPr>
      </w:pPr>
      <w:r>
        <w:rPr>
          <w:rFonts w:ascii="Arial" w:cs="Arial" w:eastAsia="Arial" w:hAnsi="Arial"/>
          <w:sz w:val="20"/>
          <w:szCs w:val="20"/>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7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9"/>
          <w:szCs w:val="19"/>
          <w:u w:val="single" w:color="auto"/>
          <w:color w:val="auto"/>
        </w:rPr>
        <w:t>Waiver of Notice</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6"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Article VIII - Notice</w:t>
      </w:r>
    </w:p>
    <w:p>
      <w:pPr>
        <w:spacing w:after="0" w:line="23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u w:val="single" w:color="auto"/>
          <w:color w:val="auto"/>
        </w:rPr>
        <w:t>Delivery of Notice; Notice by Electronic Transmission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Without limiting the manner by which notice otherwise may be given effectively to stockholders, any notice to stockholders given by Mobia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Mobia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Mobia in writing or by electronic transmission of an objection to receiving notice by electronic mail. A notice by electronic mail shall include a prominent legend that the communication is an important notice regarding Mobia.</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Without limiting the manner by which notice otherwise may be given effectively to stockholders, any notice to stockholders given by Mobia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Mobia. Notwithstanding the provisions of this paragraph, Mobia may give a notice by electronic mail in accordance with the first paragraph of this section without obtaining the consent required by this paragraph.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notice given pursuant to the preceding paragraph shall be deemed given:</w:t>
      </w:r>
    </w:p>
    <w:p>
      <w:pPr>
        <w:spacing w:after="0" w:line="216" w:lineRule="exact"/>
        <w:rPr>
          <w:sz w:val="20"/>
          <w:szCs w:val="20"/>
          <w:color w:val="auto"/>
        </w:rPr>
      </w:pPr>
    </w:p>
    <w:p>
      <w:pPr>
        <w:ind w:left="1960" w:right="20" w:hanging="656"/>
        <w:spacing w:after="0" w:line="286" w:lineRule="auto"/>
        <w:tabs>
          <w:tab w:leader="none" w:pos="1801"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by facsimile telecommunication, when directed to a number at which the stockholder has consented to receive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14" w:right="339" w:bottom="1440" w:gutter="0" w:footer="0" w:header="0"/>
        </w:sectPr>
      </w:pPr>
    </w:p>
    <w:bookmarkStart w:id="39" w:name="page40"/>
    <w:bookmarkEnd w:id="39"/>
    <w:p>
      <w:pPr>
        <w:ind w:left="1960" w:right="20" w:hanging="656"/>
        <w:spacing w:after="0" w:line="286" w:lineRule="auto"/>
        <w:tabs>
          <w:tab w:leader="none" w:pos="1836"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by a posting on an electronic network together with separate notice to the stockholder of such specific posting, upon the later of (A) such posting and (B) the giving of such separate notice; and</w:t>
      </w:r>
    </w:p>
    <w:p>
      <w:pPr>
        <w:spacing w:after="0" w:line="140" w:lineRule="exact"/>
        <w:rPr>
          <w:rFonts w:ascii="Arial" w:cs="Arial" w:eastAsia="Arial" w:hAnsi="Arial"/>
          <w:sz w:val="20"/>
          <w:szCs w:val="20"/>
          <w:color w:val="auto"/>
        </w:rPr>
      </w:pPr>
    </w:p>
    <w:p>
      <w:pPr>
        <w:ind w:left="1780" w:hanging="476"/>
        <w:spacing w:after="0"/>
        <w:tabs>
          <w:tab w:leader="none" w:pos="17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if by any other form of electronic transmission, when directed to the stockholder.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Notwithstanding the foregoing, a notice may not be given by an electronic transmission from and after the time that (1) Mobia is unable to deliver by such electronic transmission two (2) consecutive notices given by Mobia and (2) such inability becomes known to the Secretary or an Assistant Secretary of Mobia or to the transfer agent, or other person responsible for the giving of notice, provided, however, the inadvertent failure to discover such inability shall not invalidate any meeting or other action.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An affidavit of the Secretary or an Assistant Secretary or of the transfer agent or other agent of Mobia that the notice has been given shall, in the absence of fraud, be prima facie evidence of the facts stated therein.</w:t>
      </w:r>
    </w:p>
    <w:p>
      <w:pPr>
        <w:spacing w:after="0" w:line="383"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Article IX - Indemnification</w:t>
      </w:r>
    </w:p>
    <w:p>
      <w:pPr>
        <w:spacing w:after="0" w:line="23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u w:val="single" w:color="auto"/>
          <w:color w:val="auto"/>
        </w:rPr>
        <w:t>Indemnification of Directors and Officers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color w:val="auto"/>
        </w:rPr>
        <w:t>Mobia shall indemnify and hold harmless, to the fullest extent permitted by the DGCL as it presently exists or may hereafter be amended, any director or officer of Mobia who was or is made or is threatened to be made a party or is otherwise involved in any action, suit or proceeding, whether civil, criminal, administrative or investigative (a “</w:t>
      </w:r>
      <w:r>
        <w:rPr>
          <w:rFonts w:ascii="Arial" w:cs="Arial" w:eastAsia="Arial" w:hAnsi="Arial"/>
          <w:sz w:val="20"/>
          <w:szCs w:val="20"/>
          <w:b w:val="1"/>
          <w:bCs w:val="1"/>
          <w:i w:val="1"/>
          <w:iCs w:val="1"/>
          <w:color w:val="auto"/>
        </w:rPr>
        <w:t>Proceeding</w:t>
      </w:r>
      <w:r>
        <w:rPr>
          <w:rFonts w:ascii="Arial" w:cs="Arial" w:eastAsia="Arial" w:hAnsi="Arial"/>
          <w:sz w:val="20"/>
          <w:szCs w:val="20"/>
          <w:color w:val="auto"/>
        </w:rPr>
        <w:t>”) by reason of the fact that he or she, or a person for whom he or she is the legal representative, is or was a director or officer of Mobia or, while serving as a director or officer of Mobia, is or was serving at the request of Mobia as a director, officer, employee or agent of another corporation or of a partnership, joint venture, trust, enterprise or non-profit entity, including service with respect to employee benefit plans (a “</w:t>
      </w:r>
      <w:r>
        <w:rPr>
          <w:rFonts w:ascii="Arial" w:cs="Arial" w:eastAsia="Arial" w:hAnsi="Arial"/>
          <w:sz w:val="20"/>
          <w:szCs w:val="20"/>
          <w:b w:val="1"/>
          <w:bCs w:val="1"/>
          <w:i w:val="1"/>
          <w:iCs w:val="1"/>
          <w:color w:val="auto"/>
        </w:rPr>
        <w:t>covered person</w:t>
      </w:r>
      <w:r>
        <w:rPr>
          <w:rFonts w:ascii="Arial" w:cs="Arial" w:eastAsia="Arial" w:hAnsi="Arial"/>
          <w:sz w:val="20"/>
          <w:szCs w:val="20"/>
          <w:color w:val="auto"/>
        </w:rPr>
        <w:t>”),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Mobia shall be required to indemnify a person in connection with a Proceeding initiated by such person only if the Proceeding was authorized in the specific case by the Board.</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u w:val="single" w:color="auto"/>
          <w:color w:val="auto"/>
        </w:rPr>
        <w:t>Indemnification of Others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Mobia shall have the power to indemnify and hold harmless, to the fullest extent permitted by applicable law as it presently exists or may hereafter be amended, any employee or agent of Mobia who was or is made or is threatened to be made a party or is otherwise involved in any Proceeding by reason of the fact that he or she, or a person for whom he or she is the legal representative, is or was an employee or agent of Mobia or is or was serving at the request of Mobia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14" w:right="339" w:bottom="1440" w:gutter="0" w:footer="0" w:header="0"/>
        </w:sectPr>
      </w:pPr>
    </w:p>
    <w:bookmarkStart w:id="40" w:name="page41"/>
    <w:bookmarkEnd w:id="40"/>
    <w:p>
      <w:pPr>
        <w:ind w:left="660"/>
        <w:spacing w:after="0"/>
        <w:tabs>
          <w:tab w:leader="none" w:pos="11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u w:val="single" w:color="auto"/>
          <w:color w:val="auto"/>
        </w:rPr>
        <w:t>Prepayment of Expenses</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Mobia shall to the fullest extent not prohibited by applicable law pay the expenses (including attorneys’ fees) incurred by any covered person, and may pay the expenses incurred by any employee or agent of Mobia, in defending any Proceeding in advance of its final disposition; provided, however, 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9"/>
          <w:szCs w:val="19"/>
          <w:u w:val="single" w:color="auto"/>
          <w:color w:val="auto"/>
        </w:rPr>
        <w:t>Determination; Claim</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Mobia the claimant may thereafter (but not before) file suit to recover the unpaid amount of such claim and, if successful in whole or in part, shall be entitled to be paid the expense of prosecuting such claim to the fullest extent permitted by law. In any such action Mobia shall have the burden of proving that the claimant was not entitled to the requested indemnification or payment of expenses under applicable law.</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5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Mobia may purchase and maintain insurance on behalf of any person who is or was a director, officer, employee or agent of Mobia, or is or was serving at the request of Mobia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Mobia would have the power to indemnify him or her against such liability under the provisions of the DGCL.</w:t>
      </w:r>
    </w:p>
    <w:p>
      <w:pPr>
        <w:spacing w:after="0" w:line="18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u w:val="single" w:color="auto"/>
          <w:color w:val="auto"/>
        </w:rPr>
        <w:t>Other Indemnification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Mobia’s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entity.</w:t>
      </w:r>
    </w:p>
    <w:p>
      <w:pPr>
        <w:spacing w:after="0" w:line="18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9"/>
          <w:szCs w:val="19"/>
          <w:u w:val="single" w:color="auto"/>
          <w:color w:val="auto"/>
        </w:rPr>
        <w:t>Continuation of Indemnification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The rights to indemnification and to prepayment of expenses provided by, or granted pursuant to, this Article IX shall continue notwithstanding that the person has ceased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14" w:right="3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20"/>
          <w:szCs w:val="20"/>
          <w:color w:val="auto"/>
        </w:rPr>
        <w:t>director or officer of Mobia and shall inure to the benefit of the estate, heirs, executors, administrators, legatees and distributees of such person.</w:t>
      </w:r>
    </w:p>
    <w:p>
      <w:pPr>
        <w:spacing w:after="0" w:line="14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9"/>
          <w:szCs w:val="19"/>
          <w:u w:val="single" w:color="auto"/>
          <w:color w:val="auto"/>
        </w:rPr>
        <w:t>Amendment or Repeal; Interpretation</w:t>
      </w:r>
      <w:r>
        <w:rPr>
          <w:rFonts w:ascii="Arial" w:cs="Arial" w:eastAsia="Arial" w:hAnsi="Arial"/>
          <w:sz w:val="20"/>
          <w:szCs w:val="20"/>
          <w:color w:val="auto"/>
        </w:rPr>
        <w:t>.</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provisions of this Article IX shall constitute a contract between Mobia, on the one hand, and, on the other hand, each individual who serves or has served as a director or officer of Mobia (whether before or after the adoption of these bylaws), in consideration of such person’s performance of such services, and pursuant to this Article IX Mobia intends to be legally bound to each such current or former director or officer of Mobia. With respect to current and former directors and officers of Mobia, the rights conferred under this Article IX are present contractual rights and such rights are fully vested, and shall be deemed to have vested fully, immediately upon adoption of these bylaws. With respect to any directors or officers of Mobia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Mobia.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Mobia in effect prior to the time of such repeal or modification.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 reference to an officer of Mobia in this Article IX shall be deemed to refer exclusively to the Chief Executive Officer, President, and Secretary, or other officer of Mobia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Mobia or an employee of any other corporation, partnership, joint venture, trust, employee benefit plan or other enterprise has been given or has used the title of “Vice President” or any other title that could be construed to suggest or imply that such person is or may be an officer of Mobia or of such other corporation, partnership, joint venture, trust, employee benefit plan or other enterprise shall not result in such person being constituted as, or being deemed to be, an officer of Mobia or of such other corporation, partnership, joint venture, trust, employee benefit plan or other enterprise for purposes of this Article IX.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 - Amendments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The Board is expressly empowered to adopt, amend or repeal the bylaws of Mobia. The stockholders also shall have power to adopt, amend or repeal the bylaws of Mobia; provided, however, that such action by stockholders shall require, in addition to any other vote required by the Certificate of Incorporation or applicable law, the affirmative vote of the holders of at least two-thirds of the voting power of all the then-outstanding shares of voting stock of Mobia with the power to vote generally in an election of directors,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1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Article XI - Forum Selection</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Unless Mobia consents in writing to the selection of an alternative forum, (a) the Court of Chancery (the “</w:t>
      </w:r>
      <w:r>
        <w:rPr>
          <w:rFonts w:ascii="Arial" w:cs="Arial" w:eastAsia="Arial" w:hAnsi="Arial"/>
          <w:sz w:val="20"/>
          <w:szCs w:val="20"/>
          <w:b w:val="1"/>
          <w:bCs w:val="1"/>
          <w:i w:val="1"/>
          <w:iCs w:val="1"/>
          <w:color w:val="auto"/>
        </w:rPr>
        <w:t>Chancery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Court</w:t>
      </w:r>
      <w:r>
        <w:rPr>
          <w:rFonts w:ascii="Arial" w:cs="Arial" w:eastAsia="Arial" w:hAnsi="Arial"/>
          <w:sz w:val="20"/>
          <w:szCs w:val="20"/>
          <w:color w:val="auto"/>
        </w:rPr>
        <w:t>”) of the State of Delaware (or, in the event that the Chancery Court does not have jurisdiction, the federal district court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District of Delaware or other state courts of the State of Delaware) shall, to the fullest extent permitted by law, be the sole and exclusive forum for (i) any derivative action, suit or proceeding brought on behalf of Mobia, (ii) any action, suit or proceeding asserting a claim of breach of a fiduciary duty owed by any director, officer or stockholder of Mobia to Mobia or to Mobia’s stockholders, (iii) any action, suit or proceeding arising pursuant to any provision of the DGCL or the Certificate of Incorporation or these bylaws (as either may be amended from time to time) or (iv) any action, suit or proceeding asserting a claim against Mobia governed by the internal affairs doctrine; and (b) subject to the preceding provisions of this Article XI,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Arial" w:cs="Arial" w:eastAsia="Arial" w:hAnsi="Arial"/>
          <w:sz w:val="20"/>
          <w:szCs w:val="20"/>
          <w:b w:val="1"/>
          <w:bCs w:val="1"/>
          <w:i w:val="1"/>
          <w:iCs w:val="1"/>
          <w:color w:val="auto"/>
        </w:rPr>
        <w:t>Foreign Action</w:t>
      </w:r>
      <w:r>
        <w:rPr>
          <w:rFonts w:ascii="Arial" w:cs="Arial" w:eastAsia="Arial" w:hAnsi="Arial"/>
          <w:sz w:val="20"/>
          <w:szCs w:val="20"/>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Any person or entity purchasing or otherwise acquiring any interest in any security of Mobia shall be deemed to have notice of and consented to this Article XI. This provision is intended to benefit and may be enforced by Mobia,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Securities Exchange Act of 1934, as amended, or any other claim for which the federal courts of the United States have exclusive jurisdiction.</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any provision or provisions of this Article XI shall be held to be invalid, illegal or unenforceable as applied to any circumstance for any reason whatsoever, (a)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1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Article XII - Definitions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these bylaws, unless the context otherwise requires, the following terms shall have the following meanings: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i w:val="1"/>
          <w:iCs w:val="1"/>
          <w:color w:val="auto"/>
        </w:rPr>
        <w:t>electronic transmission</w:t>
      </w:r>
      <w:r>
        <w:rPr>
          <w:rFonts w:ascii="Arial" w:cs="Arial" w:eastAsia="Arial" w:hAnsi="Arial"/>
          <w:sz w:val="20"/>
          <w:szCs w:val="20"/>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i w:val="1"/>
          <w:iCs w:val="1"/>
          <w:color w:val="auto"/>
        </w:rPr>
        <w:t>electronic mail</w:t>
      </w:r>
      <w:r>
        <w:rPr>
          <w:rFonts w:ascii="Arial" w:cs="Arial" w:eastAsia="Arial" w:hAnsi="Arial"/>
          <w:sz w:val="20"/>
          <w:szCs w:val="20"/>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Mobia who is available to assist with accessing such files and information).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i w:val="1"/>
          <w:iCs w:val="1"/>
          <w:color w:val="auto"/>
        </w:rPr>
        <w:t>electronic mail address</w:t>
      </w:r>
      <w:r>
        <w:rPr>
          <w:rFonts w:ascii="Arial" w:cs="Arial" w:eastAsia="Arial" w:hAnsi="Arial"/>
          <w:sz w:val="20"/>
          <w:szCs w:val="20"/>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o"/>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upperLetter"/>
      <w:start w:val="1"/>
    </w:lvl>
    <w:lvl w:ilvl="1">
      <w:lvlJc w:val="left"/>
      <w:lvlText w:val="%2."/>
      <w:numFmt w:val="decimal"/>
      <w:start w:val="1"/>
    </w:lvl>
  </w:abstractNum>
  <w:abstractNum w:abstractNumId="4">
    <w:nsid w:val="62BBD95A"/>
    <w:multiLevelType w:val="hybridMultilevel"/>
    <w:lvl w:ilvl="0">
      <w:lvlJc w:val="left"/>
      <w:lvlText w:val="%1"/>
      <w:numFmt w:val="upperLetter"/>
      <w:start w:val="1"/>
    </w:lvl>
    <w:lvl w:ilvl="1">
      <w:lvlJc w:val="left"/>
      <w:lvlText w:val="%2."/>
      <w:numFmt w:val="decimal"/>
      <w:start w:val="3"/>
    </w:lvl>
  </w:abstractNum>
  <w:abstractNum w:abstractNumId="5">
    <w:nsid w:val="436C6125"/>
    <w:multiLevelType w:val="hybridMultilevel"/>
    <w:lvl w:ilvl="0">
      <w:lvlJc w:val="left"/>
      <w:lvlText w:val="%1."/>
      <w:numFmt w:val="upperLetter"/>
      <w:start w:val="2"/>
    </w:lvl>
    <w:lvl w:ilvl="1">
      <w:lvlJc w:val="left"/>
      <w:lvlText w:val="%2"/>
      <w:numFmt w:val="decimal"/>
      <w:start w:val="1"/>
    </w:lvl>
  </w:abstractNum>
  <w:abstractNum w:abstractNumId="6">
    <w:nsid w:val="628C895D"/>
    <w:multiLevelType w:val="hybridMultilevel"/>
    <w:lvl w:ilvl="0">
      <w:lvlJc w:val="left"/>
      <w:lvlText w:val="%1"/>
      <w:numFmt w:val="upperLetter"/>
      <w:start w:val="1"/>
    </w:lvl>
    <w:lvl w:ilvl="1">
      <w:lvlJc w:val="left"/>
      <w:lvlText w:val="(%2)"/>
      <w:numFmt w:val="lowerRoman"/>
      <w:start w:val="1"/>
    </w:lvl>
  </w:abstractNum>
  <w:abstractNum w:abstractNumId="7">
    <w:nsid w:val="333AB105"/>
    <w:multiLevelType w:val="hybridMultilevel"/>
    <w:lvl w:ilvl="0">
      <w:lvlJc w:val="left"/>
      <w:lvlText w:val="(%1)"/>
      <w:numFmt w:val="upperLetter"/>
      <w:start w:val="2"/>
    </w:lvl>
    <w:lvl w:ilvl="1">
      <w:lvlJc w:val="left"/>
      <w:lvlText w:val="%2"/>
      <w:numFmt w:val="lowerRoman"/>
      <w:start w:val="1"/>
    </w:lvl>
  </w:abstractNum>
  <w:abstractNum w:abstractNumId="8">
    <w:nsid w:val="721DA317"/>
    <w:multiLevelType w:val="hybridMultilevel"/>
    <w:lvl w:ilvl="0">
      <w:lvlJc w:val="left"/>
      <w:lvlText w:val="%1"/>
      <w:numFmt w:val="lowerRoman"/>
      <w:start w:val="1"/>
    </w:lvl>
    <w:lvl w:ilvl="1">
      <w:lvlJc w:val="left"/>
      <w:lvlText w:val="(%2)"/>
      <w:numFmt w:val="lowerRoman"/>
      <w:start w:val="2"/>
    </w:lvl>
  </w:abstractNum>
  <w:abstractNum w:abstractNumId="9">
    <w:nsid w:val="2443A858"/>
    <w:multiLevelType w:val="hybridMultilevel"/>
    <w:lvl w:ilvl="0">
      <w:lvlJc w:val="left"/>
      <w:lvlText w:val="(%1)"/>
      <w:numFmt w:val="lowerRoman"/>
      <w:start w:val="2"/>
    </w:lvl>
    <w:lvl w:ilvl="1">
      <w:lvlJc w:val="left"/>
      <w:lvlText w:val="%2"/>
      <w:numFmt w:val="lowerRoman"/>
      <w:start w:val="1"/>
    </w:lvl>
  </w:abstractNum>
  <w:abstractNum w:abstractNumId="10">
    <w:nsid w:val="2D1D5AE9"/>
    <w:multiLevelType w:val="hybridMultilevel"/>
    <w:lvl w:ilvl="0">
      <w:lvlJc w:val="left"/>
      <w:lvlText w:val="(%1)"/>
      <w:numFmt w:val="lowerLetter"/>
      <w:start w:val="61"/>
    </w:lvl>
    <w:lvl w:ilvl="1">
      <w:lvlJc w:val="left"/>
      <w:lvlText w:val="(%2)"/>
      <w:numFmt w:val="lowerLetter"/>
      <w:start w:val="1"/>
    </w:lvl>
  </w:abstractNum>
  <w:abstractNum w:abstractNumId="11">
    <w:nsid w:val="6763845E"/>
    <w:multiLevelType w:val="hybridMultilevel"/>
    <w:lvl w:ilvl="0">
      <w:lvlJc w:val="left"/>
      <w:lvlText w:val="(%1)"/>
      <w:numFmt w:val="lowerLetter"/>
      <w:start w:val="3"/>
    </w:lvl>
  </w:abstractNum>
  <w:abstractNum w:abstractNumId="12">
    <w:nsid w:val="75A2A8D4"/>
    <w:multiLevelType w:val="hybridMultilevel"/>
    <w:lvl w:ilvl="0">
      <w:lvlJc w:val="left"/>
      <w:lvlText w:val="%1"/>
      <w:numFmt w:val="decimal"/>
      <w:start w:val="1"/>
    </w:lvl>
    <w:lvl w:ilvl="1">
      <w:lvlJc w:val="left"/>
      <w:lvlText w:val="(%2)"/>
      <w:numFmt w:val="lowerRoman"/>
      <w:start w:val="4"/>
    </w:lvl>
  </w:abstractNum>
  <w:abstractNum w:abstractNumId="13">
    <w:nsid w:val="8EDBDAB"/>
    <w:multiLevelType w:val="hybridMultilevel"/>
    <w:lvl w:ilvl="0">
      <w:lvlJc w:val="left"/>
      <w:lvlText w:val="(%1)"/>
      <w:numFmt w:val="decimal"/>
      <w:start w:val="10"/>
    </w:lvl>
    <w:lvl w:ilvl="1">
      <w:lvlJc w:val="left"/>
      <w:lvlText w:val="%2"/>
      <w:numFmt w:val="lowerRoman"/>
      <w:start w:val="1"/>
    </w:lvl>
  </w:abstractNum>
  <w:abstractNum w:abstractNumId="14">
    <w:nsid w:val="79838CB2"/>
    <w:multiLevelType w:val="hybridMultilevel"/>
    <w:lvl w:ilvl="0">
      <w:lvlJc w:val="left"/>
      <w:lvlText w:val="(%1)"/>
      <w:numFmt w:val="decimal"/>
      <w:start w:val="5"/>
    </w:lvl>
    <w:lvl w:ilvl="1">
      <w:lvlJc w:val="left"/>
      <w:lvlText w:val="(%2)"/>
      <w:numFmt w:val="lowerRoman"/>
      <w:start w:val="7"/>
    </w:lvl>
  </w:abstractNum>
  <w:abstractNum w:abstractNumId="15">
    <w:nsid w:val="4353D0CD"/>
    <w:multiLevelType w:val="hybridMultilevel"/>
    <w:lvl w:ilvl="0">
      <w:lvlJc w:val="left"/>
      <w:lvlText w:val="(%1)"/>
      <w:numFmt w:val="lowerRoman"/>
      <w:start w:val="8"/>
    </w:lvl>
  </w:abstractNum>
  <w:abstractNum w:abstractNumId="16">
    <w:nsid w:val="B03E0C6"/>
    <w:multiLevelType w:val="hybridMultilevel"/>
    <w:lvl w:ilvl="0">
      <w:lvlJc w:val="left"/>
      <w:lvlText w:val="(%1)"/>
      <w:numFmt w:val="lowerRoman"/>
      <w:start w:val="1"/>
    </w:lvl>
  </w:abstractNum>
  <w:abstractNum w:abstractNumId="17">
    <w:nsid w:val="189A769B"/>
    <w:multiLevelType w:val="hybridMultilevel"/>
    <w:lvl w:ilvl="0">
      <w:lvlJc w:val="left"/>
      <w:lvlText w:val="(%1)"/>
      <w:numFmt w:val="lowerRoman"/>
      <w:start w:val="4"/>
    </w:lvl>
  </w:abstractNum>
  <w:abstractNum w:abstractNumId="18">
    <w:nsid w:val="54E49EB4"/>
    <w:multiLevelType w:val="hybridMultilevel"/>
    <w:lvl w:ilvl="0">
      <w:lvlJc w:val="left"/>
      <w:lvlText w:val="(%1)"/>
      <w:numFmt w:val="lowerRoman"/>
      <w:start w:val="3"/>
    </w:lvl>
    <w:lvl w:ilvl="1">
      <w:lvlJc w:val="left"/>
      <w:lvlText w:val="(%2)"/>
      <w:numFmt w:val="lowerRoman"/>
      <w:start w:val="6"/>
    </w:lvl>
    <w:lvl w:ilvl="2">
      <w:lvlJc w:val="left"/>
      <w:lvlText w:val="(%3)"/>
      <w:numFmt w:val="lowerLetter"/>
      <w:start w:val="1"/>
    </w:lvl>
  </w:abstractNum>
  <w:abstractNum w:abstractNumId="19">
    <w:nsid w:val="71F32454"/>
    <w:multiLevelType w:val="hybridMultilevel"/>
    <w:lvl w:ilvl="0">
      <w:lvlJc w:val="left"/>
      <w:lvlText w:val="(%1)"/>
      <w:numFmt w:val="lowerRoman"/>
      <w:start w:val="7"/>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decimal"/>
      <w:start w:val="1"/>
    </w:lvl>
    <w:lvl w:ilvl="1">
      <w:lvlJc w:val="left"/>
      <w:lvlText w:val="(%2)"/>
      <w:numFmt w:val="lowerRoman"/>
      <w:start w:val="1"/>
    </w:lvl>
  </w:abstractNum>
  <w:abstractNum w:abstractNumId="22">
    <w:nsid w:val="2901D82"/>
    <w:multiLevelType w:val="hybridMultilevel"/>
    <w:lvl w:ilvl="0">
      <w:lvlJc w:val="left"/>
      <w:lvlText w:val="(%1)"/>
      <w:numFmt w:val="decimal"/>
      <w:start w:val="1"/>
    </w:lvl>
    <w:lvl w:ilvl="1">
      <w:lvlJc w:val="left"/>
      <w:lvlText w:val="(%2)"/>
      <w:numFmt w:val="lowerRoman"/>
      <w:start w:val="2"/>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lowerRoman"/>
      <w:start w:val="2"/>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lowerRoman"/>
      <w:start w:val="1"/>
    </w:lvl>
  </w:abstractNum>
  <w:abstractNum w:abstractNumId="27">
    <w:nsid w:val="737B8DDC"/>
    <w:multiLevelType w:val="hybridMultilevel"/>
    <w:lvl w:ilvl="0">
      <w:lvlJc w:val="left"/>
      <w:lvlText w:val="(%1)"/>
      <w:numFmt w:val="lowerRoman"/>
      <w:start w:val="1"/>
    </w:lvl>
  </w:abstractNum>
  <w:abstractNum w:abstractNumId="28">
    <w:nsid w:val="6CEAF087"/>
    <w:multiLevelType w:val="hybridMultilevel"/>
    <w:lvl w:ilvl="0">
      <w:lvlJc w:val="left"/>
      <w:lvlText w:val="(%1)"/>
      <w:numFmt w:val="lowerRoman"/>
      <w:start w:val="3"/>
    </w:lvl>
  </w:abstractNum>
  <w:abstractNum w:abstractNumId="29">
    <w:nsid w:val="22221A70"/>
    <w:multiLevelType w:val="hybridMultilevel"/>
    <w:lvl w:ilvl="0">
      <w:lvlJc w:val="left"/>
      <w:lvlText w:val="(%1)"/>
      <w:numFmt w:val="lowerRoman"/>
      <w:start w:val="1"/>
    </w:lvl>
    <w:lvl w:ilvl="1">
      <w:lvlJc w:val="left"/>
      <w:lvlText w:val="(%2)"/>
      <w:numFmt w:val="lowerRoman"/>
      <w:start w:val="4"/>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lowerRoman"/>
      <w:start w:val="1"/>
    </w:lvl>
  </w:abstractNum>
  <w:abstractNum w:abstractNumId="32">
    <w:nsid w:val="614FD4A1"/>
    <w:multiLevelType w:val="hybridMultilevel"/>
    <w:lvl w:ilvl="0">
      <w:lvlJc w:val="left"/>
      <w:lvlText w:val="(%1)"/>
      <w:numFmt w:val="lowerRoman"/>
      <w:start w:val="2"/>
    </w:lvl>
  </w:abstractNum>
  <w:abstractNum w:abstractNumId="33">
    <w:nsid w:val="419AC241"/>
    <w:multiLevelType w:val="hybridMultilevel"/>
    <w:lvl w:ilvl="0">
      <w:lvlJc w:val="left"/>
      <w:lvlText w:val="(%1)"/>
      <w:numFmt w:val="lowerRoman"/>
      <w:start w:val="1"/>
    </w:lvl>
  </w:abstractNum>
  <w:abstractNum w:abstractNumId="34">
    <w:nsid w:val="5577F8E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2026-05-11T16:31:51Z</dcterms:created>
  <dcterms:modified xsi:type="dcterms:W3CDTF">2026-05-11T16:31:51Z</dcterms:modified>
</cp:coreProperties>
</file>