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Mobia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Patrick G. Enright</w:t>
              <w:br/>
              <w:t>Longitude Capital Partners V, LLC, 2740 Sand Hill Road, 2nd Floor</w:t>
              <w:br/>
              <w:t>Menlo Park, CA, 94025</w:t>
              <w:br/>
              <w:t>(650) 854-5700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Longitude Capital Partners V,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2,088,560.00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2,088,560.00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2,088,560.00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are held of record by LVPV (as defined in Item 2(a) below). LCPV (as defined in Item 2(a) below) is the general partner of LVPV and may be deemed to have voting and dispositive power with respect to these securities. Patrick G. Enright, a member of the Issuer's board of directors, and Juliet Tammenoms Bakker are the managing members of LCPV and may each be deemed to share voting and dispositive power with respect to these securities. Maxwell Bikoff, a managing director at Longitude Capital, is a member of the Issuer's board of directors, but holds no voting or dispositve power with respect to these securities. Based on 33,085,391 shares of Common Stock outstanding as of May 11, 2026, following the closing of the Issuer's (as defined in Item 1(a) below) initial public offering of its Common Stock (the Offering), as reported by the Issuer in its prospectus filed with the United States Securities and Exchange Commission (the Commission) on May 8, 2026 (the Prospectus), assuming no exercise of the underwriters' option to purchase 1,500,000 additional shares of Common Stock (the Underwriters' Option).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Longitude Venture Partners 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2,088,560.00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2,088,560.00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2,088,560.00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are held of record by LVPV. LCPV is the general partner of LVPV and may be deemed to have voting and dispositive power with respect to these securities. Patrick G. Enright and Juliet Tammenoms Bakker are the managing members of LCPV and may each be deemed to share voting and dispositive power with respect to these securities. Maxwell Bikoff, a managing director at Longitude Capital, is a member of the Issuer's board of directors, but holds no voting or dispositve power with respect to these securities. Based on 33,085,391 shares of Common Stock outstanding as of May 11, 2026, following the closing of the Offering, as reported by the Issuer in the Prospectus, assuming no exercise of the Underwriters' Option.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Longitude 103.8 East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1,166,666.00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1,166,666.00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1,166,666.00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are held of record by L103 (as defined in Item 2(a) below). L103P (as defined in Item 2(a) below) is the general partner of L103 and may be deemed to have voting and dispositive power with respect to these securities. Patrick G. Enright and Juliet Tammenoms Bakker are the managing members of L103P and may each be deemed to share voting and dispositive power with respect to these securities. Maxwell Bikoff, a managing director at Longitude Capital, is a member of the Issuer's board of directors, but holds no voting or dispositve power with respect to these securities. Based on 33,085,391 shares of Common Stock outstanding as of May 11, 2026, following the closing of the Offering, as reported by the Issuer in the Prospectus, assuming no exercise of the Underwriters' Option.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Longitude 103.8 East,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1,166,666.00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1,166,666.00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1,166,666.00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are held of record by L103. L103P is the general partner of L103 and may be deemed to have voting and dispositive power with respect to these securities. Patrick G. Enright and Juliet Tammenoms Bakker are the managing members of L103P and may each be deemed to share voting and dispositive power with respect to these securities. Maxwell Bikoff, a managing director at Longitude Capital, is a member of the Issuer's board of directors, but holds no voting or dispositve power with respect to these securities. Based on 33,085,391 shares of Common Stock outstanding as of May 11, 2026, following the closing of the Offering, as reported by the Issuer in the Prospectus, assuming no exercise of the Underwriters' Option.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Patrick G. Enright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3,255,226.00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3,255,226.00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3,255,226.00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2,088,560 shares of Common Stock held of record by LVPV, and (ii) 1,166,666 shares of Common Stock held of record by L103. LCPV is the general partner of LVPV and may be deemed to have voting and dispositive power with respect to the shares held of record by LVPV. L103P is the general partner of L103 and may be deemed to have voting and dispositive power with respect to the shares held by L103. Patrick G. Enright and Juliet Tammenoms Bakker are the managing members of each of LCPV and L103 and may each be deemed to share voting and dispositive power with respect to the shares held by LVPV and L103. Maxwell Bikoff, a managing director at Longitude Capital, is a member of the Issuer's board of directors, but holds no voting or dispositve power with respect to these securities. Based on 33,085,391 shares of Common Stock outstanding as of May 11, 2026, following the closing of the Offering, as reported by the Issuer in the Prospectus, assuming no exercise of the Underwriters' Option.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Juliet Tammenoms Bakker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3,255,226.00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3,255,226.00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3,255,226.00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(i) 2,088,560 shares of Common Stock held of record by LVPV, and (ii) 1,166,666 shares of Common Stock held of record by L103. LCPV is the general partner of LVPV and may be deemed to have voting and dispositive power with respect to the shares held of record by LVPV. L103P is the general partner of L103 and may be deemed to have voting and dispositive power with respect to the shares held by L103. Patrick G. Enright and Juliet Tammenoms Bakker are the managing members of each of LCPV and L103P and may each be deemed to share voting and dispositive power with respect to the shares held by LVPV and L103. Maxwell Bikoff, a managing director at Longitude Capital, is a member of the Issuer's board of directors, but holds no voting or dispositve power with respect to these securities. Based on 33,085,391 shares of Common Stock outstanding as of May 11, 2026, following the closing of the Offering, as reported by the Issuer in the Prospectus, assuming no exercise of the Underwriters' Option.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Item 1.</w:t>
            </w:r>
          </w:p>
        </w:tc>
        <w:tc>
          <w:tcPr>
            <w:tcW w:w="9038" w:type="dxa"/>
            <w:tcBorders/>
            <w:vAlign w:val="center"/>
          </w:tcPr>
          <w:p>
            <w:pPr>
              <w:pStyle w:val="TableContents"/>
              <w:bidi w:val="0"/>
              <w:spacing w:before="0" w:after="283"/>
              <w:jc w:val="left"/>
              <w:rPr/>
            </w:pPr>
            <w:r>
              <w:rPr/>
              <w:t>Security and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jc w:val="left"/>
              <w:rPr/>
            </w:pPr>
            <w:r>
              <w:rPr/>
              <w:t xml:space="preserve">Name of Issuer: </w:t>
            </w:r>
          </w:p>
          <w:p>
            <w:pPr>
              <w:pStyle w:val="TableContents"/>
              <w:bidi w:val="0"/>
              <w:spacing w:before="0" w:after="0"/>
              <w:jc w:val="left"/>
              <w:rPr/>
            </w:pPr>
            <w:r>
              <w:rPr/>
              <w:t>Mobia Medical, Inc.</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2802 Flintrock Trace, Suite 226, Austin, TEXAS , 78738.</w:t>
            </w:r>
          </w:p>
        </w:tc>
      </w:tr>
      <w:tr>
        <w:trPr/>
        <w:tc>
          <w:tcPr>
            <w:tcW w:w="1167" w:type="dxa"/>
            <w:tcBorders/>
            <w:vAlign w:val="center"/>
          </w:tcPr>
          <w:p>
            <w:pPr>
              <w:pStyle w:val="TableContents"/>
              <w:bidi w:val="0"/>
              <w:spacing w:before="0" w:after="283"/>
              <w:jc w:val="left"/>
              <w:rPr/>
            </w:pPr>
            <w:r>
              <w:rPr/>
              <w:t>Item 2.</w:t>
            </w:r>
          </w:p>
        </w:tc>
        <w:tc>
          <w:tcPr>
            <w:tcW w:w="9038" w:type="dxa"/>
            <w:tcBorders/>
            <w:vAlign w:val="center"/>
          </w:tcPr>
          <w:p>
            <w:pPr>
              <w:pStyle w:val="TableContents"/>
              <w:bidi w:val="0"/>
              <w:spacing w:before="0" w:after="283"/>
              <w:jc w:val="left"/>
              <w:rPr/>
            </w:pPr>
            <w:r>
              <w:rPr/>
              <w:t>Identity and Background</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This joint statement on Schedule 13D is being filed by Longitude Capital Partners V, LLC (LCPV), Longitude Venture Partners V, L.P. (LVPV), Longitude 103.8 East Partners, LLC (L103P) and Longitude 103.8 East, L.P. (L103 and together with LCPV, LVPV and L103P, the Reporting Entities) and Patrick G. Enright and Juliet Tammenoms Bakker (together, the Reporting Individuals). The Reporting Entities and the Reporting Individuals are collectively referred to as the Reporting Persons. The Reporting Persons expressly disclaim status as a "group" for purposes of this Schedule 13D.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The address of the principal offices of each Reporting Entity and the business address of each Reporting Individual is 2740 Sand Hill Road, Second Floor, Menlo Park, California 94025.</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Each Reporting Entity is a venture capital investment entity. Each Reporting Individual is engaged through venture capital investment entities in acquiring, holding and disposing of interests in various companies for investment purposes. The Reporting Individuals are managing members of each of LCPV and L103P. LCPV is the general partner of LVPV and L103P is the general partner of L103.</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During the past five years, none of the Reporting Persons have been convicted in a criminal proceeding (excluding traffic violations or similar misdemeanors).</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7" w:type="dxa"/>
            <w:tcBorders/>
            <w:vAlign w:val="center"/>
          </w:tcPr>
          <w:p>
            <w:pPr>
              <w:pStyle w:val="TableContents"/>
              <w:bidi w:val="0"/>
              <w:spacing w:before="0" w:after="283"/>
              <w:jc w:val="left"/>
              <w:rPr/>
            </w:pPr>
            <w:r>
              <w:rPr/>
              <w:t>(f)</w:t>
            </w:r>
          </w:p>
        </w:tc>
        <w:tc>
          <w:tcPr>
            <w:tcW w:w="9038" w:type="dxa"/>
            <w:tcBorders/>
            <w:vAlign w:val="center"/>
          </w:tcPr>
          <w:p>
            <w:pPr>
              <w:pStyle w:val="TableContents"/>
              <w:bidi w:val="0"/>
              <w:spacing w:before="0" w:after="0"/>
              <w:jc w:val="left"/>
              <w:rPr/>
            </w:pPr>
            <w:r>
              <w:rPr/>
              <w:t>Each of LCPV and L103P is a limited liability company organized under the laws of the State of Delaware. Each of LVPV and L103 is a limited partnership organized under the laws of the State of Delaware. Each of the Reporting Individuals is a citizen of the United States of America.</w:t>
            </w:r>
          </w:p>
        </w:tc>
      </w:tr>
      <w:tr>
        <w:trPr/>
        <w:tc>
          <w:tcPr>
            <w:tcW w:w="1167" w:type="dxa"/>
            <w:tcBorders/>
            <w:vAlign w:val="center"/>
          </w:tcPr>
          <w:p>
            <w:pPr>
              <w:pStyle w:val="TableContents"/>
              <w:bidi w:val="0"/>
              <w:spacing w:before="0" w:after="283"/>
              <w:jc w:val="left"/>
              <w:rPr/>
            </w:pPr>
            <w:r>
              <w:rPr/>
              <w:t>Item 3.</w:t>
            </w:r>
          </w:p>
        </w:tc>
        <w:tc>
          <w:tcPr>
            <w:tcW w:w="9038" w:type="dxa"/>
            <w:tcBorders/>
            <w:vAlign w:val="center"/>
          </w:tcPr>
          <w:p>
            <w:pPr>
              <w:pStyle w:val="TableContents"/>
              <w:bidi w:val="0"/>
              <w:spacing w:before="0" w:after="283"/>
              <w:jc w:val="left"/>
              <w:rPr/>
            </w:pPr>
            <w:r>
              <w:rPr/>
              <w:t>Source and Amount of Funds or Other Consideration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In March 2025, LVPV purchased 1,899,912 shares of the Issuer's Series F Preferred Stock for a purchase price of $2.6317 per share and an aggregate purchase price of approximately $5.0 million. In October 2025, LVPV purchased 1,899,912 shares of the Issuer's Series F Preferred Stock for a purchase price of $2.6317 per share and an aggregate purchase price of approximately $5.0 million. In January 2026, LVPV purchased a convertible promissory note (the 2026 Convertible Note) for a purchase price of $3,971,193. On May 11, 2026, effective upon the closing of the Offering, the 2026 Convertible Note converted into 330,932 shares of Common Stock. On May 11, 2026, effective upon the closing of the Offering, each series of the Issuer's preferred stock automatically converted, for no consideration, into shares of the Common Stock on a one-for-3.483 basis in connection with the Issuer's reverse stock split. Following the conversion, each Reporting Person directly held such number of shares of Common Stock set forth in Item 11 of their respective Cover Pages. On May 11, 2026, LVPV purchased 666,666 shares of Common Stock in the Offering for a purchase price of $15.00 per share and an aggregate purchase price of approximately $10.0 million. On May 11, 2026, L103 purchased 1,166,666 shares of Common Stock in the Offering for a purchase price of $15.00 per share and an aggregate purchase price of approximately $17.5 million. All shares of the capital stock of the Issuer purchased by LVPV and L103 have been purchased using investment funds provided to LVPV and L103 by its limited partner and general partner investors. Unless noted above, no part of the purchase price was borrowed by any Reporting Person for the purpose of acquiring any securities discussed in this Item 3.</w:t>
            </w:r>
          </w:p>
        </w:tc>
      </w:tr>
      <w:tr>
        <w:trPr/>
        <w:tc>
          <w:tcPr>
            <w:tcW w:w="1167" w:type="dxa"/>
            <w:tcBorders/>
            <w:vAlign w:val="center"/>
          </w:tcPr>
          <w:p>
            <w:pPr>
              <w:pStyle w:val="TableContents"/>
              <w:bidi w:val="0"/>
              <w:spacing w:before="0" w:after="283"/>
              <w:jc w:val="left"/>
              <w:rPr/>
            </w:pPr>
            <w:r>
              <w:rPr/>
              <w:t>Item 4.</w:t>
            </w:r>
          </w:p>
        </w:tc>
        <w:tc>
          <w:tcPr>
            <w:tcW w:w="9038" w:type="dxa"/>
            <w:tcBorders/>
            <w:vAlign w:val="center"/>
          </w:tcPr>
          <w:p>
            <w:pPr>
              <w:pStyle w:val="TableContents"/>
              <w:bidi w:val="0"/>
              <w:spacing w:before="0" w:after="283"/>
              <w:jc w:val="left"/>
              <w:rPr/>
            </w:pPr>
            <w:r>
              <w:rPr/>
              <w:t>Purpose of Transaction</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 Except as set forth above, the Reporting Persons have no present plans or intentions which would result in or relate to any of the transactions described in subparagraphs (a) through (j) of Item 4 of Schedule 13D.</w:t>
            </w:r>
          </w:p>
        </w:tc>
      </w:tr>
      <w:tr>
        <w:trPr/>
        <w:tc>
          <w:tcPr>
            <w:tcW w:w="1167" w:type="dxa"/>
            <w:tcBorders/>
            <w:vAlign w:val="center"/>
          </w:tcPr>
          <w:p>
            <w:pPr>
              <w:pStyle w:val="TableContents"/>
              <w:bidi w:val="0"/>
              <w:spacing w:before="0" w:after="283"/>
              <w:jc w:val="left"/>
              <w:rPr/>
            </w:pPr>
            <w:r>
              <w:rPr/>
              <w:t>Item 5.</w:t>
            </w:r>
          </w:p>
        </w:tc>
        <w:tc>
          <w:tcPr>
            <w:tcW w:w="9038" w:type="dxa"/>
            <w:tcBorders/>
            <w:vAlign w:val="center"/>
          </w:tcPr>
          <w:p>
            <w:pPr>
              <w:pStyle w:val="TableContents"/>
              <w:bidi w:val="0"/>
              <w:spacing w:before="0" w:after="283"/>
              <w:jc w:val="left"/>
              <w:rPr/>
            </w:pPr>
            <w:r>
              <w:rPr/>
              <w:t>Interest in Securities of the Issuer</w:t>
            </w:r>
          </w:p>
        </w:tc>
      </w:tr>
      <w:tr>
        <w:trPr/>
        <w:tc>
          <w:tcPr>
            <w:tcW w:w="1167" w:type="dxa"/>
            <w:tcBorders/>
            <w:vAlign w:val="center"/>
          </w:tcPr>
          <w:p>
            <w:pPr>
              <w:pStyle w:val="TableContents"/>
              <w:bidi w:val="0"/>
              <w:spacing w:before="0" w:after="283"/>
              <w:jc w:val="left"/>
              <w:rPr/>
            </w:pPr>
            <w:r>
              <w:rPr/>
              <w:t>(a)</w:t>
            </w:r>
          </w:p>
        </w:tc>
        <w:tc>
          <w:tcPr>
            <w:tcW w:w="9038" w:type="dxa"/>
            <w:tcBorders/>
            <w:vAlign w:val="center"/>
          </w:tcPr>
          <w:p>
            <w:pPr>
              <w:pStyle w:val="TableContents"/>
              <w:bidi w:val="0"/>
              <w:spacing w:before="0" w:after="0"/>
              <w:jc w:val="left"/>
              <w:rPr/>
            </w:pPr>
            <w:r>
              <w:rPr/>
              <w:t>See Items 7-11 of the cover pages of this Statement and Item 2 above. Except to the extent of his, hers, or its pecuniary interest therein, each Reporting Person disclaims beneficial ownership of such shares of Common Stock, except for the shares, if any, such Reporting Person holds of record.</w:t>
            </w:r>
          </w:p>
        </w:tc>
      </w:tr>
      <w:tr>
        <w:trPr/>
        <w:tc>
          <w:tcPr>
            <w:tcW w:w="1167" w:type="dxa"/>
            <w:tcBorders/>
            <w:vAlign w:val="center"/>
          </w:tcPr>
          <w:p>
            <w:pPr>
              <w:pStyle w:val="TableContents"/>
              <w:bidi w:val="0"/>
              <w:spacing w:before="0" w:after="283"/>
              <w:jc w:val="left"/>
              <w:rPr/>
            </w:pPr>
            <w:r>
              <w:rPr/>
              <w:t>(b)</w:t>
            </w:r>
          </w:p>
        </w:tc>
        <w:tc>
          <w:tcPr>
            <w:tcW w:w="9038" w:type="dxa"/>
            <w:tcBorders/>
            <w:vAlign w:val="center"/>
          </w:tcPr>
          <w:p>
            <w:pPr>
              <w:pStyle w:val="TableContents"/>
              <w:bidi w:val="0"/>
              <w:spacing w:before="0" w:after="0"/>
              <w:jc w:val="left"/>
              <w:rPr/>
            </w:pPr>
            <w:r>
              <w:rPr/>
              <w:t>See Items 7-11 of the cover pages of this Statement and Item 2 above. Except to the extent of his, hers, or its pecuniary interest therein, each Reporting Person disclaims beneficial ownership of such shares of Common Stock, except for the shares, if any, such Reporting Person holds of record.</w:t>
            </w:r>
          </w:p>
        </w:tc>
      </w:tr>
      <w:tr>
        <w:trPr/>
        <w:tc>
          <w:tcPr>
            <w:tcW w:w="1167" w:type="dxa"/>
            <w:tcBorders/>
            <w:vAlign w:val="center"/>
          </w:tcPr>
          <w:p>
            <w:pPr>
              <w:pStyle w:val="TableContents"/>
              <w:bidi w:val="0"/>
              <w:spacing w:before="0" w:after="283"/>
              <w:jc w:val="left"/>
              <w:rPr/>
            </w:pPr>
            <w:r>
              <w:rPr/>
              <w:t>(c)</w:t>
            </w:r>
          </w:p>
        </w:tc>
        <w:tc>
          <w:tcPr>
            <w:tcW w:w="9038" w:type="dxa"/>
            <w:tcBorders/>
            <w:vAlign w:val="center"/>
          </w:tcPr>
          <w:p>
            <w:pPr>
              <w:pStyle w:val="TableContents"/>
              <w:bidi w:val="0"/>
              <w:spacing w:before="0" w:after="0"/>
              <w:jc w:val="left"/>
              <w:rPr/>
            </w:pPr>
            <w:r>
              <w:rPr/>
              <w:t>Except as reported in this Statement, none of the Reporting Persons has effected any transactions in the Issuer's securities within the past 60 days.</w:t>
            </w:r>
          </w:p>
        </w:tc>
      </w:tr>
      <w:tr>
        <w:trPr/>
        <w:tc>
          <w:tcPr>
            <w:tcW w:w="1167" w:type="dxa"/>
            <w:tcBorders/>
            <w:vAlign w:val="center"/>
          </w:tcPr>
          <w:p>
            <w:pPr>
              <w:pStyle w:val="TableContents"/>
              <w:bidi w:val="0"/>
              <w:spacing w:before="0" w:after="283"/>
              <w:jc w:val="left"/>
              <w:rPr/>
            </w:pPr>
            <w:r>
              <w:rPr/>
              <w:t>(d)</w:t>
            </w:r>
          </w:p>
        </w:tc>
        <w:tc>
          <w:tcPr>
            <w:tcW w:w="9038" w:type="dxa"/>
            <w:tcBorders/>
            <w:vAlign w:val="center"/>
          </w:tcPr>
          <w:p>
            <w:pPr>
              <w:pStyle w:val="TableContents"/>
              <w:bidi w:val="0"/>
              <w:spacing w:before="0" w:after="0"/>
              <w:jc w:val="left"/>
              <w:rPr/>
            </w:pPr>
            <w:r>
              <w:rPr/>
              <w:t>Under certain circumstances set forth in the limited partnership agreements of LVPV and L103, the general partner and limited partners of each of LVPV and L103 may be deemed to have the right to receive dividends from, or the proceeds from, the sale of shares of the Issuer owned by such entity of which they are a partner.</w:t>
            </w:r>
          </w:p>
        </w:tc>
      </w:tr>
      <w:tr>
        <w:trPr/>
        <w:tc>
          <w:tcPr>
            <w:tcW w:w="1167" w:type="dxa"/>
            <w:tcBorders/>
            <w:vAlign w:val="center"/>
          </w:tcPr>
          <w:p>
            <w:pPr>
              <w:pStyle w:val="TableContents"/>
              <w:bidi w:val="0"/>
              <w:spacing w:before="0" w:after="283"/>
              <w:jc w:val="left"/>
              <w:rPr/>
            </w:pPr>
            <w:r>
              <w:rPr/>
              <w:t>(e)</w:t>
            </w:r>
          </w:p>
        </w:tc>
        <w:tc>
          <w:tcPr>
            <w:tcW w:w="9038" w:type="dxa"/>
            <w:tcBorders/>
            <w:vAlign w:val="center"/>
          </w:tcPr>
          <w:p>
            <w:pPr>
              <w:pStyle w:val="TableContents"/>
              <w:bidi w:val="0"/>
              <w:spacing w:before="0" w:after="0"/>
              <w:jc w:val="left"/>
              <w:rPr/>
            </w:pPr>
            <w:r>
              <w:rPr/>
              <w:t>Not applicable.</w:t>
            </w:r>
          </w:p>
        </w:tc>
      </w:tr>
      <w:tr>
        <w:trPr/>
        <w:tc>
          <w:tcPr>
            <w:tcW w:w="1167" w:type="dxa"/>
            <w:tcBorders/>
            <w:vAlign w:val="center"/>
          </w:tcPr>
          <w:p>
            <w:pPr>
              <w:pStyle w:val="TableContents"/>
              <w:bidi w:val="0"/>
              <w:spacing w:before="0" w:after="283"/>
              <w:jc w:val="left"/>
              <w:rPr/>
            </w:pPr>
            <w:r>
              <w:rPr/>
              <w:t>Item 6.</w:t>
            </w:r>
          </w:p>
        </w:tc>
        <w:tc>
          <w:tcPr>
            <w:tcW w:w="903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The Reporting Persons and certain of the Issuer's other investors entered into the Amended and Restated Registration Rights Agreement, dated March 5, 2025 (the Rights Agreement). Following the closing of the Offering, the stockholders party thereto are entitled to certain registration rights, including the right to demand that the Issuer file a registration statement or request that their shares be covered by a registration statement that the Issuer is otherwise filing. The terms and provisions of the Rights Agreement are described more fully in the Issuer's Registration Statement on Form S-1 (File No. 333-295160) and declared effective by the Commission on May 7, 2026 (the Registration Statement), and the above summary is qualified by reference to such description and the full text of the Rights Agreement, which is filed as Exhibit 2 to this Statement and is incorporated herein by reference. In connection with the Offering, each of the Reporting Persons entered into lock-up agreements, pursuant to which the Reporting Persons have agreed, subject to certain exceptions, not to sell, transfer or otherwise convey any of the Issuer's securities held by each of the Reporting Persons for 180 days following the date of the underwriting agreement for the Offering. The terms and provisions of such lock-up agreements are described more fully in the Registration Statement, and the above summary is qualified by reference to such description and the full text of the lock-up agreement, a form of which is filed as Exhibit 3 to this Statement as attached as Exhibit A to the Underwriting Agreement filed with to the Registration Statement and is incorporated herein by reference.</w:t>
            </w:r>
          </w:p>
        </w:tc>
      </w:tr>
      <w:tr>
        <w:trPr/>
        <w:tc>
          <w:tcPr>
            <w:tcW w:w="1167" w:type="dxa"/>
            <w:tcBorders/>
            <w:vAlign w:val="center"/>
          </w:tcPr>
          <w:p>
            <w:pPr>
              <w:pStyle w:val="TableContents"/>
              <w:bidi w:val="0"/>
              <w:spacing w:before="0" w:after="283"/>
              <w:jc w:val="left"/>
              <w:rPr/>
            </w:pPr>
            <w:r>
              <w:rPr/>
              <w:t>Item 7.</w:t>
            </w:r>
          </w:p>
        </w:tc>
        <w:tc>
          <w:tcPr>
            <w:tcW w:w="9038" w:type="dxa"/>
            <w:tcBorders/>
            <w:vAlign w:val="center"/>
          </w:tcPr>
          <w:p>
            <w:pPr>
              <w:pStyle w:val="TableContents"/>
              <w:bidi w:val="0"/>
              <w:spacing w:before="0" w:after="283"/>
              <w:jc w:val="left"/>
              <w:rPr/>
            </w:pPr>
            <w:r>
              <w:rPr/>
              <w:t>Material to be Filed as Exhibits.</w:t>
            </w:r>
          </w:p>
        </w:tc>
      </w:tr>
      <w:tr>
        <w:trPr/>
        <w:tc>
          <w:tcPr>
            <w:tcW w:w="1167" w:type="dxa"/>
            <w:tcBorders/>
            <w:vAlign w:val="center"/>
          </w:tcPr>
          <w:p>
            <w:pPr>
              <w:pStyle w:val="TableContents"/>
              <w:bidi w:val="0"/>
              <w:spacing w:before="0" w:after="283"/>
              <w:jc w:val="left"/>
              <w:rPr/>
            </w:pPr>
            <w:r>
              <w:rPr/>
              <w:t> </w:t>
            </w:r>
          </w:p>
        </w:tc>
        <w:tc>
          <w:tcPr>
            <w:tcW w:w="9038" w:type="dxa"/>
            <w:tcBorders/>
            <w:vAlign w:val="center"/>
          </w:tcPr>
          <w:p>
            <w:pPr>
              <w:pStyle w:val="TableContents"/>
              <w:bidi w:val="0"/>
              <w:spacing w:before="0" w:after="0"/>
              <w:jc w:val="left"/>
              <w:rPr/>
            </w:pPr>
            <w:r>
              <w:rPr/>
              <w:t>Exhibit 1: Joint Filing Agreement, dated May 13, 2026, by and among the Reporting Persons (filed herewith). Exhibit 2: Amended and Restated Registration Rights Agreement, dated March 5, 2025, by and among the Registrant and certain of its stockholders, (filed as Exhibit 4.1 to the Issuer's Registration Statement on Form S-1/A as filed with the Commission on May 4, 2026 (SEC File No. 333-295160) and incorporated herein by reference). Exhibit 3: Form of Lock-Up Agreement for certain directors, officers and other stockholders of the Issuer (filed as Exhibit 1.1 to the Issuer's Registration Statement on Form S-1/A as filed with the Commission on May 4, 2026 (SEC File No. 333-295160) and incorporated herein by reference).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Longitude Capital Partners V,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Longitude Venture Partners V, L.P.</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Longitude Capital Partners V, LLC, General Partner, /s/ Cristiana Blauth Oliveira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Cristiana Blauth Oliveira, 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Longitude 103.8 East Partners, LLC</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Longitude 103.8 East,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Longitude 103.8 East Partners, LLC, General Partner, /s/ Cristiana Blauth Oliveira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Cristiana Blauth Oliveira,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Patrick G. Enright</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8"/>
        <w:gridCol w:w="4147"/>
      </w:tblGrid>
      <w:tr>
        <w:trPr/>
        <w:tc>
          <w:tcPr>
            <w:tcW w:w="60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Cristiana Blauth Oliveira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Cristiana Blauth Oliveira, as attorney-in-fact for Patrick G. Enright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147"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Juliet Tammenoms Bakker</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Cristiana Blauth Oliveira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Cristiana Blauth Oliveira, as attorney-in-fact for Juliet Tammenoms Bakker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3663</Words>
  <Characters>18972</Characters>
  <CharactersWithSpaces>22458</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