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840" w:hanging="3812"/>
        <w:spacing w:after="0" w:line="342" w:lineRule="auto"/>
        <w:tabs>
          <w:tab w:leader="none" w:pos="23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160" w:right="1860" w:hanging="4152"/>
        <w:spacing w:after="0" w:line="357" w:lineRule="auto"/>
        <w:tabs>
          <w:tab w:leader="none" w:pos="22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001-43275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MOBIA MEDICAL,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840" w:type="dxa"/>
            <w:vAlign w:val="bottom"/>
          </w:tcPr>
          <w:p>
            <w:pPr>
              <w:jc w:val="center"/>
              <w:ind w:left="1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jc w:val="center"/>
              <w:ind w:right="1601"/>
              <w:spacing w:after="0"/>
              <w:rPr>
                <w:sz w:val="20"/>
                <w:szCs w:val="20"/>
                <w:color w:val="auto"/>
              </w:rPr>
            </w:pPr>
            <w:r>
              <w:rPr>
                <w:rFonts w:ascii="Times New Roman" w:cs="Times New Roman" w:eastAsia="Times New Roman" w:hAnsi="Times New Roman"/>
                <w:sz w:val="18"/>
                <w:szCs w:val="18"/>
                <w:b w:val="1"/>
                <w:bCs w:val="1"/>
                <w:color w:val="auto"/>
              </w:rPr>
              <w:t>20-8573833</w:t>
            </w:r>
          </w:p>
        </w:tc>
      </w:tr>
      <w:tr>
        <w:trPr>
          <w:trHeight w:val="148"/>
        </w:trPr>
        <w:tc>
          <w:tcPr>
            <w:tcW w:w="3840" w:type="dxa"/>
            <w:vAlign w:val="bottom"/>
          </w:tcPr>
          <w:p>
            <w:pPr>
              <w:jc w:val="center"/>
              <w:ind w:left="16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0" w:type="dxa"/>
            <w:vAlign w:val="bottom"/>
          </w:tcPr>
          <w:p>
            <w:pPr>
              <w:jc w:val="center"/>
              <w:ind w:righ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left="16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Pr>
          <w:p>
            <w:pPr>
              <w:jc w:val="center"/>
              <w:ind w:righ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2802 Flintrock Trace, Suite 226</w:t>
            </w:r>
          </w:p>
        </w:tc>
        <w:tc>
          <w:tcPr>
            <w:tcW w:w="3800" w:type="dxa"/>
            <w:vAlign w:val="bottom"/>
          </w:tcPr>
          <w:p>
            <w:pPr>
              <w:spacing w:after="0"/>
              <w:rPr>
                <w:sz w:val="24"/>
                <w:szCs w:val="24"/>
                <w:color w:val="auto"/>
              </w:rPr>
            </w:pPr>
          </w:p>
        </w:tc>
      </w:tr>
      <w:tr>
        <w:trPr>
          <w:trHeight w:val="214"/>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Austin, TX</w:t>
            </w:r>
          </w:p>
        </w:tc>
        <w:tc>
          <w:tcPr>
            <w:tcW w:w="3800" w:type="dxa"/>
            <w:vAlign w:val="bottom"/>
          </w:tcPr>
          <w:p>
            <w:pPr>
              <w:spacing w:after="0"/>
              <w:rPr>
                <w:sz w:val="18"/>
                <w:szCs w:val="18"/>
                <w:color w:val="auto"/>
              </w:rPr>
            </w:pPr>
          </w:p>
        </w:tc>
      </w:tr>
      <w:tr>
        <w:trPr>
          <w:trHeight w:val="190"/>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0" w:type="dxa"/>
            <w:vAlign w:val="bottom"/>
          </w:tcPr>
          <w:p>
            <w:pPr>
              <w:spacing w:after="0"/>
              <w:rPr>
                <w:sz w:val="16"/>
                <w:szCs w:val="16"/>
                <w:color w:val="auto"/>
              </w:rPr>
            </w:pPr>
          </w:p>
        </w:tc>
      </w:tr>
      <w:tr>
        <w:trPr>
          <w:trHeight w:val="282"/>
        </w:trPr>
        <w:tc>
          <w:tcPr>
            <w:tcW w:w="3840" w:type="dxa"/>
            <w:vAlign w:val="bottom"/>
          </w:tcPr>
          <w:p>
            <w:pPr>
              <w:spacing w:after="0"/>
              <w:rPr>
                <w:sz w:val="24"/>
                <w:szCs w:val="24"/>
                <w:color w:val="auto"/>
              </w:rPr>
            </w:pPr>
          </w:p>
        </w:tc>
        <w:tc>
          <w:tcPr>
            <w:tcW w:w="2900" w:type="dxa"/>
            <w:vAlign w:val="bottom"/>
            <w:gridSpan w:val="3"/>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78738</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800" w:type="dxa"/>
            <w:vAlign w:val="bottom"/>
          </w:tcPr>
          <w:p>
            <w:pPr>
              <w:spacing w:after="0"/>
              <w:rPr>
                <w:sz w:val="16"/>
                <w:szCs w:val="16"/>
                <w:color w:val="auto"/>
              </w:rPr>
            </w:pPr>
          </w:p>
        </w:tc>
      </w:tr>
      <w:tr>
        <w:trPr>
          <w:trHeight w:val="282"/>
        </w:trPr>
        <w:tc>
          <w:tcPr>
            <w:tcW w:w="3840" w:type="dxa"/>
            <w:vAlign w:val="bottom"/>
          </w:tcPr>
          <w:p>
            <w:pPr>
              <w:spacing w:after="0"/>
              <w:rPr>
                <w:sz w:val="24"/>
                <w:szCs w:val="24"/>
                <w:color w:val="auto"/>
              </w:rPr>
            </w:pPr>
          </w:p>
        </w:tc>
        <w:tc>
          <w:tcPr>
            <w:tcW w:w="2900" w:type="dxa"/>
            <w:vAlign w:val="bottom"/>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(855) 628-9375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36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00" w:type="dxa"/>
            <w:vAlign w:val="bottom"/>
          </w:tcPr>
          <w:p>
            <w:pPr>
              <w:spacing w:after="0"/>
              <w:rPr>
                <w:sz w:val="16"/>
                <w:szCs w:val="16"/>
                <w:color w:val="auto"/>
              </w:rPr>
            </w:pPr>
          </w:p>
        </w:tc>
      </w:tr>
      <w:tr>
        <w:trPr>
          <w:trHeight w:val="282"/>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800" w:type="dxa"/>
            <w:vAlign w:val="bottom"/>
          </w:tcPr>
          <w:p>
            <w:pPr>
              <w:spacing w:after="0"/>
              <w:rPr>
                <w:sz w:val="24"/>
                <w:szCs w:val="24"/>
                <w:color w:val="auto"/>
              </w:rPr>
            </w:pPr>
          </w:p>
        </w:tc>
      </w:tr>
      <w:tr>
        <w:trPr>
          <w:trHeight w:val="190"/>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320"/>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0" w:type="dxa"/>
            <w:vAlign w:val="bottom"/>
          </w:tcPr>
          <w:p>
            <w:pPr>
              <w:spacing w:after="0"/>
              <w:rPr>
                <w:sz w:val="24"/>
                <w:szCs w:val="24"/>
                <w:color w:val="auto"/>
              </w:rPr>
            </w:pPr>
          </w:p>
        </w:tc>
      </w:tr>
      <w:tr>
        <w:trPr>
          <w:trHeight w:val="318"/>
        </w:trPr>
        <w:tc>
          <w:tcPr>
            <w:tcW w:w="384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00" w:type="dxa"/>
            <w:vAlign w:val="bottom"/>
          </w:tcPr>
          <w:p>
            <w:pPr>
              <w:jc w:val="center"/>
              <w:ind w:right="381"/>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840" w:type="dxa"/>
            <w:vAlign w:val="bottom"/>
            <w:tcBorders>
              <w:top w:val="single" w:sz="8" w:color="auto"/>
            </w:tcBorders>
          </w:tcPr>
          <w:p>
            <w:pPr>
              <w:jc w:val="center"/>
              <w:ind w:left="12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MOBI</w:t>
            </w: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55" w:lineRule="exact"/>
        <w:rPr>
          <w:sz w:val="24"/>
          <w:szCs w:val="24"/>
          <w:color w:val="auto"/>
        </w:rPr>
      </w:pPr>
    </w:p>
    <w:p>
      <w:pPr>
        <w:ind w:right="2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12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1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jc w:val="both"/>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0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June 1, 2026, there were 33,249,006 shares of the registrant’s common stock, par value $0.01 per share, outstanding.</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8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Mobia Medical, Inc.</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80"/>
        </w:trPr>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Item 1. Condensed Financial Statements</w:t>
            </w:r>
          </w:p>
        </w:tc>
        <w:tc>
          <w:tcPr>
            <w:tcW w:w="6620" w:type="dxa"/>
            <w:vAlign w:val="bottom"/>
            <w:gridSpan w:val="13"/>
            <w:vMerge w:val="restart"/>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86"/>
        </w:trPr>
        <w:tc>
          <w:tcPr>
            <w:tcW w:w="2920" w:type="dxa"/>
            <w:vAlign w:val="bottom"/>
            <w:tcBorders>
              <w:bottom w:val="single" w:sz="8" w:color="0000FF"/>
            </w:tcBorders>
            <w:gridSpan w:val="10"/>
            <w:vMerge w:val="continue"/>
          </w:tcPr>
          <w:p>
            <w:pPr>
              <w:spacing w:after="0"/>
              <w:rPr>
                <w:sz w:val="7"/>
                <w:szCs w:val="7"/>
                <w:color w:val="auto"/>
              </w:rPr>
            </w:pPr>
          </w:p>
        </w:tc>
        <w:tc>
          <w:tcPr>
            <w:tcW w:w="6620" w:type="dxa"/>
            <w:vAlign w:val="bottom"/>
            <w:gridSpan w:val="13"/>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95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Condensed Balance Sheets (unaudited) as of March 31, 2026 and December 31,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81"/>
        </w:trPr>
        <w:tc>
          <w:tcPr>
            <w:tcW w:w="9540" w:type="dxa"/>
            <w:vAlign w:val="bottom"/>
            <w:gridSpan w:val="23"/>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263"/>
        </w:trPr>
        <w:tc>
          <w:tcPr>
            <w:tcW w:w="74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 (unaudited) for the three months ended March 31, 2026 and 2025</w:t>
            </w:r>
          </w:p>
        </w:tc>
        <w:tc>
          <w:tcPr>
            <w:tcW w:w="20" w:type="dxa"/>
            <w:vAlign w:val="bottom"/>
            <w:vMerge w:val="restart"/>
          </w:tcPr>
          <w:p>
            <w:pPr>
              <w:spacing w:after="0"/>
              <w:rPr>
                <w:sz w:val="22"/>
                <w:szCs w:val="22"/>
                <w:color w:val="auto"/>
              </w:rPr>
            </w:pPr>
          </w:p>
        </w:tc>
        <w:tc>
          <w:tcPr>
            <w:tcW w:w="2100" w:type="dxa"/>
            <w:vAlign w:val="bottom"/>
            <w:gridSpan w:val="3"/>
            <w:vMerge w:val="restart"/>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7420" w:type="dxa"/>
            <w:vAlign w:val="bottom"/>
            <w:tcBorders>
              <w:bottom w:val="single" w:sz="8" w:color="0000FF"/>
            </w:tcBorders>
            <w:gridSpan w:val="19"/>
            <w:vMerge w:val="continue"/>
          </w:tcPr>
          <w:p>
            <w:pPr>
              <w:spacing w:after="0"/>
              <w:rPr>
                <w:sz w:val="7"/>
                <w:szCs w:val="7"/>
                <w:color w:val="auto"/>
              </w:rPr>
            </w:pPr>
          </w:p>
        </w:tc>
        <w:tc>
          <w:tcPr>
            <w:tcW w:w="20" w:type="dxa"/>
            <w:vAlign w:val="bottom"/>
            <w:tcBorders>
              <w:bottom w:val="single" w:sz="8" w:color="0000EE"/>
            </w:tcBorders>
            <w:vMerge w:val="continue"/>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8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Statements of Redeemable Convertible Preferred Stock and Stockholders’ Deficit (unaudited) for the</w:t>
            </w:r>
          </w:p>
        </w:tc>
        <w:tc>
          <w:tcPr>
            <w:tcW w:w="14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9540" w:type="dxa"/>
            <w:vAlign w:val="bottom"/>
            <w:gridSpan w:val="23"/>
          </w:tcPr>
          <w:p>
            <w:pPr>
              <w:ind w:left="160"/>
              <w:spacing w:after="0" w:line="196" w:lineRule="exact"/>
              <w:rPr>
                <w:sz w:val="20"/>
                <w:szCs w:val="20"/>
                <w:color w:val="auto"/>
              </w:rPr>
            </w:pPr>
            <w:r>
              <w:rPr>
                <w:rFonts w:ascii="Times New Roman" w:cs="Times New Roman" w:eastAsia="Times New Roman" w:hAnsi="Times New Roman"/>
                <w:sz w:val="18"/>
                <w:szCs w:val="18"/>
                <w:color w:val="0000FF"/>
              </w:rPr>
              <w:t>three months ended March 31, 2026 and 2025</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263"/>
        </w:trPr>
        <w:tc>
          <w:tcPr>
            <w:tcW w:w="74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(unaudited) for the three months ended March 31, 2026 and 2025</w:t>
            </w:r>
          </w:p>
        </w:tc>
        <w:tc>
          <w:tcPr>
            <w:tcW w:w="2060" w:type="dxa"/>
            <w:vAlign w:val="bottom"/>
            <w:gridSpan w:val="2"/>
            <w:vMerge w:val="restart"/>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7480" w:type="dxa"/>
            <w:vAlign w:val="bottom"/>
            <w:tcBorders>
              <w:bottom w:val="single" w:sz="8" w:color="0000FF"/>
            </w:tcBorders>
            <w:gridSpan w:val="21"/>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95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81"/>
        </w:trPr>
        <w:tc>
          <w:tcPr>
            <w:tcW w:w="9540" w:type="dxa"/>
            <w:vAlign w:val="bottom"/>
            <w:gridSpan w:val="23"/>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263"/>
        </w:trPr>
        <w:tc>
          <w:tcPr>
            <w:tcW w:w="95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9540" w:type="dxa"/>
            <w:vAlign w:val="bottom"/>
            <w:gridSpan w:val="23"/>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920" w:type="dxa"/>
            <w:vAlign w:val="bottom"/>
            <w:tcBorders>
              <w:top w:val="single" w:sz="8" w:color="0000FF"/>
            </w:tcBorders>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3"/>
            <w:vMerge w:val="restart"/>
          </w:tcPr>
          <w:p>
            <w:pPr>
              <w:spacing w:after="0"/>
              <w:rPr>
                <w:sz w:val="22"/>
                <w:szCs w:val="22"/>
                <w:color w:val="auto"/>
              </w:rPr>
            </w:pPr>
          </w:p>
        </w:tc>
        <w:tc>
          <w:tcPr>
            <w:tcW w:w="2520" w:type="dxa"/>
            <w:vAlign w:val="bottom"/>
            <w:gridSpan w:val="5"/>
            <w:vMerge w:val="restart"/>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86"/>
        </w:trPr>
        <w:tc>
          <w:tcPr>
            <w:tcW w:w="4920" w:type="dxa"/>
            <w:vAlign w:val="bottom"/>
            <w:tcBorders>
              <w:bottom w:val="single" w:sz="8" w:color="0000FF"/>
            </w:tcBorders>
            <w:gridSpan w:val="15"/>
            <w:vMerge w:val="continue"/>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3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200" w:type="dxa"/>
            <w:vAlign w:val="bottom"/>
            <w:gridSpan w:val="17"/>
            <w:vMerge w:val="restart"/>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86"/>
        </w:trPr>
        <w:tc>
          <w:tcPr>
            <w:tcW w:w="2340" w:type="dxa"/>
            <w:vAlign w:val="bottom"/>
            <w:tcBorders>
              <w:bottom w:val="single" w:sz="8" w:color="0000FF"/>
            </w:tcBorders>
            <w:gridSpan w:val="6"/>
            <w:vMerge w:val="continue"/>
          </w:tcPr>
          <w:p>
            <w:pPr>
              <w:spacing w:after="0"/>
              <w:rPr>
                <w:sz w:val="7"/>
                <w:szCs w:val="7"/>
                <w:color w:val="auto"/>
              </w:rPr>
            </w:pPr>
          </w:p>
        </w:tc>
        <w:tc>
          <w:tcPr>
            <w:tcW w:w="7200" w:type="dxa"/>
            <w:vAlign w:val="bottom"/>
            <w:gridSpan w:val="17"/>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640" w:type="dxa"/>
            <w:vAlign w:val="bottom"/>
            <w:gridSpan w:val="14"/>
            <w:vMerge w:val="restart"/>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86"/>
        </w:trPr>
        <w:tc>
          <w:tcPr>
            <w:tcW w:w="2900" w:type="dxa"/>
            <w:vAlign w:val="bottom"/>
            <w:tcBorders>
              <w:bottom w:val="single" w:sz="8" w:color="0000FF"/>
            </w:tcBorders>
            <w:gridSpan w:val="9"/>
            <w:vMerge w:val="continue"/>
          </w:tcPr>
          <w:p>
            <w:pPr>
              <w:spacing w:after="0"/>
              <w:rPr>
                <w:sz w:val="7"/>
                <w:szCs w:val="7"/>
                <w:color w:val="auto"/>
              </w:rPr>
            </w:pPr>
          </w:p>
        </w:tc>
        <w:tc>
          <w:tcPr>
            <w:tcW w:w="6640" w:type="dxa"/>
            <w:vAlign w:val="bottom"/>
            <w:gridSpan w:val="14"/>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440" w:type="dxa"/>
            <w:vAlign w:val="bottom"/>
          </w:tcPr>
          <w:p>
            <w:pPr>
              <w:spacing w:after="0"/>
              <w:rPr>
                <w:sz w:val="24"/>
                <w:szCs w:val="24"/>
                <w:color w:val="auto"/>
              </w:rPr>
            </w:pPr>
          </w:p>
        </w:tc>
        <w:tc>
          <w:tcPr>
            <w:tcW w:w="540" w:type="dxa"/>
            <w:vAlign w:val="bottom"/>
            <w:gridSpan w:val="5"/>
          </w:tcPr>
          <w:p>
            <w:pPr>
              <w:spacing w:after="0"/>
              <w:rPr>
                <w:sz w:val="24"/>
                <w:szCs w:val="24"/>
                <w:color w:val="auto"/>
              </w:rPr>
            </w:pPr>
          </w:p>
        </w:tc>
        <w:tc>
          <w:tcPr>
            <w:tcW w:w="2020" w:type="dxa"/>
            <w:vAlign w:val="bottom"/>
            <w:gridSpan w:val="3"/>
          </w:tcPr>
          <w:p>
            <w:pPr>
              <w:spacing w:after="0"/>
              <w:rPr>
                <w:sz w:val="24"/>
                <w:szCs w:val="24"/>
                <w:color w:val="auto"/>
              </w:rPr>
            </w:pPr>
          </w:p>
        </w:tc>
        <w:tc>
          <w:tcPr>
            <w:tcW w:w="4180" w:type="dxa"/>
            <w:vAlign w:val="bottom"/>
            <w:gridSpan w:val="7"/>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44"/>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540" w:type="dxa"/>
            <w:vAlign w:val="bottom"/>
            <w:gridSpan w:val="5"/>
          </w:tcPr>
          <w:p>
            <w:pPr>
              <w:spacing w:after="0"/>
              <w:rPr>
                <w:sz w:val="24"/>
                <w:szCs w:val="24"/>
                <w:color w:val="auto"/>
              </w:rPr>
            </w:pPr>
          </w:p>
        </w:tc>
        <w:tc>
          <w:tcPr>
            <w:tcW w:w="2020" w:type="dxa"/>
            <w:vAlign w:val="bottom"/>
            <w:gridSpan w:val="3"/>
          </w:tcPr>
          <w:p>
            <w:pPr>
              <w:spacing w:after="0"/>
              <w:rPr>
                <w:sz w:val="24"/>
                <w:szCs w:val="24"/>
                <w:color w:val="auto"/>
              </w:rPr>
            </w:pPr>
          </w:p>
        </w:tc>
        <w:tc>
          <w:tcPr>
            <w:tcW w:w="4180" w:type="dxa"/>
            <w:vAlign w:val="bottom"/>
            <w:gridSpan w:val="7"/>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45"/>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180" w:type="dxa"/>
            <w:vAlign w:val="bottom"/>
            <w:gridSpan w:val="7"/>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45"/>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6200" w:type="dxa"/>
            <w:vAlign w:val="bottom"/>
            <w:gridSpan w:val="10"/>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45"/>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740" w:type="dxa"/>
            <w:vAlign w:val="bottom"/>
            <w:gridSpan w:val="15"/>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44"/>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7200" w:type="dxa"/>
            <w:vAlign w:val="bottom"/>
            <w:gridSpan w:val="17"/>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45"/>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920" w:type="dxa"/>
            <w:vAlign w:val="bottom"/>
            <w:gridSpan w:val="19"/>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72"/>
        </w:trPr>
        <w:tc>
          <w:tcPr>
            <w:tcW w:w="1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360" w:type="dxa"/>
            <w:vAlign w:val="bottom"/>
            <w:gridSpan w:val="20"/>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912"/>
        </w:trPr>
        <w:tc>
          <w:tcPr>
            <w:tcW w:w="6160" w:type="dxa"/>
            <w:vAlign w:val="bottom"/>
            <w:gridSpan w:val="17"/>
          </w:tcPr>
          <w:p>
            <w:pPr>
              <w:jc w:val="center"/>
              <w:ind w:left="4990"/>
              <w:spacing w:after="0"/>
              <w:rPr>
                <w:sz w:val="20"/>
                <w:szCs w:val="20"/>
                <w:color w:val="auto"/>
              </w:rPr>
            </w:pPr>
            <w:r>
              <w:rPr>
                <w:rFonts w:ascii="Times New Roman" w:cs="Times New Roman" w:eastAsia="Times New Roman" w:hAnsi="Times New Roman"/>
                <w:sz w:val="18"/>
                <w:szCs w:val="18"/>
                <w:color w:val="auto"/>
                <w:w w:val="88"/>
              </w:rPr>
              <w:t>2</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including statements regarding our expectations of future results of operations and financial condition, business strategy, solutions, technology, R&amp;D costs, regulatory approvals, potential market opportunity, anticipated trends in our business,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right="520" w:firstLine="374"/>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“plan,” “potential,” “predict,” “project,” “should,” “target,” “will,” or “would,” or the negative of these terms or other similar expressions, are intended to identify forward-looking statements. Forward-looking statements contained in this Quarterly Report include, but are not limited to, statements about:</w:t>
      </w:r>
    </w:p>
    <w:p>
      <w:pPr>
        <w:spacing w:after="0" w:line="6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business and our organization;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 including the continued development of a sales and marketing infrastructure;</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treatment with our Vivistim Paired Vagus Nerve Stimulation System and any future products, if approved for commercial use;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 of our products by physicians and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further clinical trials and patient registries;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expected timeline related to our products, or developing new products, to address additional indications or otherwise;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expand regulatory clearances for our products and any new products we create;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the net proceeds from the initial public offering and our existing cash and cash equivalents;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payer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sufficient quantities from manufacturers of our products with sufficient quality and at an acceptable price;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materials and components for our products from our third-party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into new geographic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extensive exchange requirements and government laws, rules, and regulations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 as well as our need for, or ability to obtain, additional financing, and our future financial performance;</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 (the “JOBS Act”);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and planned products or acquire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“Risk Factors” and elsewhere in this Quarterly Report and in other filings we make with the U.S. Securities and Exchange Commission (the “SEC”) from time to time. Moreover, we operate in a competitive and rapidly changing environment.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ind w:right="120"/>
        <w:spacing w:after="0" w:line="258" w:lineRule="auto"/>
        <w:rPr>
          <w:sz w:val="20"/>
          <w:szCs w:val="20"/>
          <w:color w:val="auto"/>
        </w:rPr>
      </w:pPr>
      <w:r>
        <w:rPr>
          <w:rFonts w:ascii="Times New Roman" w:cs="Times New Roman" w:eastAsia="Times New Roman" w:hAnsi="Times New Roman"/>
          <w:sz w:val="18"/>
          <w:szCs w:val="18"/>
          <w:color w:val="auto"/>
        </w:rPr>
        <w:t>New risks and uncertainties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3"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based on the information available to us when they are made, we cannot guarantee that the future results, advancements, discoveries, levels of activity, performance, or events and circumstances reflected in the forward-looking statements will be achieved or occur.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forward-looking statements. We undertake no obligation to update any forward-looking statements, which speak only as the date they are made, for any reason after the date of this Quarterly Report.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FD – Channel of Distribution</w:t>
      </w:r>
    </w:p>
    <w:p>
      <w:pPr>
        <w:spacing w:after="0" w:line="229"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We periodically post information that may be important to investors on our investor relations website at https://ir.mobia.com.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our press releases, filings with the SEC and public conference calls and webcasts. The information contained on, or that may be accessed through, our website is not incorporated by reference into, and is not a part of, this Quarterly Report.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The risk factors summarized and detailed below could materially harm our business, operating results and/or financial condition, impair our future prospects and/or cause the price of our common stock to decline. A summary of the material risks that may affect our business, operating results and financial condition include, but are not necessarily limited to, those relating to:</w:t>
      </w:r>
    </w:p>
    <w:p>
      <w:pPr>
        <w:spacing w:after="0" w:line="68" w:lineRule="exact"/>
        <w:rPr>
          <w:sz w:val="20"/>
          <w:szCs w:val="20"/>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ever achieve profitability, we may not be able to sustain it.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business could be materially and adversely affected.</w:t>
      </w:r>
    </w:p>
    <w:p>
      <w:pPr>
        <w:spacing w:after="0" w:line="117" w:lineRule="exact"/>
        <w:rPr>
          <w:rFonts w:ascii="Times New Roman" w:cs="Times New Roman" w:eastAsia="Times New Roman" w:hAnsi="Times New Roman"/>
          <w:sz w:val="18"/>
          <w:szCs w:val="18"/>
          <w:color w:val="auto"/>
        </w:rPr>
      </w:pPr>
    </w:p>
    <w:p>
      <w:pPr>
        <w:ind w:left="760" w:right="10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treatment with our Vivistim Paired Vagus Nerve Stimulation (“Paired VNS”) System (“Vivistim Therapy”) depends upon attaining significant market acceptance of our products by hospitals, healthcare providers, therapists, patients, caregivers and payors.</w:t>
      </w:r>
    </w:p>
    <w:p>
      <w:pPr>
        <w:spacing w:after="0" w:line="31" w:lineRule="exact"/>
        <w:rPr>
          <w:rFonts w:ascii="Times New Roman" w:cs="Times New Roman" w:eastAsia="Times New Roman" w:hAnsi="Times New Roman"/>
          <w:sz w:val="17"/>
          <w:szCs w:val="17"/>
          <w:color w:val="auto"/>
        </w:rPr>
      </w:pPr>
    </w:p>
    <w:p>
      <w:pPr>
        <w:jc w:val="both"/>
        <w:ind w:left="760" w:right="26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entirely on our currently marketed Vivistim Therapy. If we are unable to successfully market and sell Vivistim Therapy, our business prospects will be materially and adversely affected, and we may be unable to achieve revenue growth and to fund our operations.</w:t>
      </w:r>
    </w:p>
    <w:p>
      <w:pPr>
        <w:spacing w:after="0" w:line="31" w:lineRule="exact"/>
        <w:rPr>
          <w:rFonts w:ascii="Times New Roman" w:cs="Times New Roman" w:eastAsia="Times New Roman" w:hAnsi="Times New Roman"/>
          <w:sz w:val="17"/>
          <w:szCs w:val="17"/>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hire, train, and retain our direct sales force, increase our sales capabilities, or develop broad brand awareness in a cost-effective manner, our growth will be materially and adversely affected, and our business will suffer.</w:t>
      </w:r>
    </w:p>
    <w:p>
      <w:pPr>
        <w:spacing w:after="0" w:line="5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adequate reimbursement may not be available or may be subject to change for our Vivistim System, including any future products we commercialize, which could diminish our sales, increase our competition, or affect our ability to sell our currently marketed Vivistim Therapy and any future products profitably.</w:t>
      </w:r>
    </w:p>
    <w:p>
      <w:pPr>
        <w:spacing w:after="0" w:line="67" w:lineRule="exact"/>
        <w:rPr>
          <w:rFonts w:ascii="Times New Roman" w:cs="Times New Roman" w:eastAsia="Times New Roman" w:hAnsi="Times New Roman"/>
          <w:sz w:val="18"/>
          <w:szCs w:val="18"/>
          <w:color w:val="auto"/>
        </w:rPr>
      </w:pPr>
    </w:p>
    <w:p>
      <w:pPr>
        <w:ind w:left="760" w:right="1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third-party contract manufacturers and suppliers, some of which are single source, to produce and package all elements comprising our Vivistim Paired VNS System (the “Vivistim System”) as well as certain implantation tools, and if these suppliers and manufacturers fail to supply our Vivistim System or its components or subcomponents in sufficient quantities or at all, it will have a material adverse effect on our business, financial condition, and results of operations.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market opportunity has not been established with precision and may be smaller than we estimate, possibly materially.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product recalls, or other complications or customer satisfaction issues associated with Vivistim Therapy, including regarding the finite implanted pulse generator (“IPG”) battery life, could limit its adoption.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evidence and experience regarding the safety and efficacy of Vivistim Therapy.</w:t>
      </w:r>
    </w:p>
    <w:p>
      <w:pPr>
        <w:spacing w:after="0" w:line="11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existing, and obtain additional, patent and other intellectual property protection for our technology and products, or if the scope of the patent protection we obtained is not sufficiently broad, we may not be able to compete effectively in our markets.</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in the United States, and our failure to comply with applicable requirements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marketing authorizations for our products, or to timely obtain necessary marketing authorizations for our future products, may have a material and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w:t>
      </w:r>
    </w:p>
    <w:p>
      <w:pPr>
        <w:spacing w:after="0" w:line="117"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The risks described above should be read together with the text of the full risk factors described below in the section entitled “Risk Factors” and the other information set forth in this Quarterly Report, including our condensed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55,725</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33,587</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71,714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46,357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73,596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48,149</w:t>
            </w:r>
          </w:p>
        </w:tc>
        <w:tc>
          <w:tcPr>
            <w:tcW w:w="0" w:type="dxa"/>
            <w:vAlign w:val="bottom"/>
          </w:tcPr>
          <w:p>
            <w:pPr>
              <w:spacing w:after="0"/>
              <w:rPr>
                <w:sz w:val="1"/>
                <w:szCs w:val="1"/>
                <w:color w:val="auto"/>
              </w:rPr>
            </w:pPr>
          </w:p>
        </w:tc>
      </w:tr>
      <w:tr>
        <w:trPr>
          <w:trHeight w:val="197"/>
        </w:trPr>
        <w:tc>
          <w:tcPr>
            <w:tcW w:w="7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payroll, commissions, and bonuses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offering costs</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0"/>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10,206</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discount and deferred financing costs</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14,359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due to related parties</w:t>
            </w:r>
          </w:p>
        </w:tc>
        <w:tc>
          <w:tcPr>
            <w:tcW w:w="26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0"/>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61,571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19,149</w:t>
            </w: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issuable in series, stock, $0.01 par value, 67,174,403</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authorized as of March 31, 2026 and December 31, 2025, respectively;</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65,591,701 shares issued and outstanding as of March 31, 2026 and December 31,</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respectively; aggregate liquidation value of $182,255 as of March 31, 2026 and</w:t>
            </w:r>
          </w:p>
        </w:tc>
        <w:tc>
          <w:tcPr>
            <w:tcW w:w="260" w:type="dxa"/>
            <w:vAlign w:val="bottom"/>
          </w:tcPr>
          <w:p>
            <w:pPr>
              <w:spacing w:after="0"/>
              <w:rPr>
                <w:sz w:val="18"/>
                <w:szCs w:val="18"/>
                <w:color w:val="auto"/>
              </w:rPr>
            </w:pPr>
          </w:p>
        </w:tc>
        <w:tc>
          <w:tcPr>
            <w:tcW w:w="13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179,773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179,773</w:t>
            </w:r>
          </w:p>
        </w:tc>
        <w:tc>
          <w:tcPr>
            <w:tcW w:w="0" w:type="dxa"/>
            <w:vAlign w:val="bottom"/>
          </w:tcPr>
          <w:p>
            <w:pPr>
              <w:spacing w:after="0"/>
              <w:rPr>
                <w:sz w:val="1"/>
                <w:szCs w:val="1"/>
                <w:color w:val="auto"/>
              </w:rPr>
            </w:pPr>
          </w:p>
        </w:tc>
      </w:tr>
      <w:tr>
        <w:trPr>
          <w:trHeight w:val="221"/>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86,600,000 shares authorized as of March 31, 2026</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 1,003,256 and 884,030 shares outstanding as of March 31,</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7,771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(167,748)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(150,773)</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73,596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48,149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-4070985</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-4053840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-2948305</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-2116455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11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Mobia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173"/>
        </w:trPr>
        <w:tc>
          <w:tcPr>
            <w:tcW w:w="5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12,074</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2,133</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1,015</w:t>
            </w: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9,941</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4,646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25,186</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13,596</w:t>
            </w:r>
          </w:p>
        </w:tc>
      </w:tr>
      <w:tr>
        <w:trPr>
          <w:trHeight w:val="209"/>
        </w:trPr>
        <w:tc>
          <w:tcPr>
            <w:tcW w:w="5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26,878</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14,950</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(10,304)</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0"/>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(10,652)</w:t>
            </w: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8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(17,740)</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(10,653)</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(19.30)</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86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82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(19.30)</w:t>
            </w:r>
          </w:p>
        </w:tc>
        <w:tc>
          <w:tcPr>
            <w:tcW w:w="740" w:type="dxa"/>
            <w:vAlign w:val="bottom"/>
            <w:gridSpan w:val="2"/>
            <w:shd w:val="clear" w:color="auto" w:fill="CFF0FC"/>
          </w:tcPr>
          <w:p>
            <w:pPr>
              <w:jc w:val="right"/>
              <w:ind w:right="4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(12.97)</w:t>
            </w:r>
          </w:p>
        </w:tc>
      </w:tr>
      <w:tr>
        <w:trPr>
          <w:trHeight w:val="178"/>
        </w:trPr>
        <w:tc>
          <w:tcPr>
            <w:tcW w:w="58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loss per</w:t>
            </w:r>
          </w:p>
        </w:tc>
        <w:tc>
          <w:tcPr>
            <w:tcW w:w="188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4"/>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8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8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918,935</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821,160</w:t>
            </w:r>
          </w:p>
        </w:tc>
      </w:tr>
      <w:tr>
        <w:trPr>
          <w:trHeight w:val="197"/>
        </w:trPr>
        <w:tc>
          <w:tcPr>
            <w:tcW w:w="58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8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w w:val="99"/>
              </w:rPr>
              <w:t>918,935</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821,160</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-2348230</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-1233805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-624840</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-607695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Mobia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the three months ended March 31,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35"/>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00" w:type="dxa"/>
            <w:vAlign w:val="bottom"/>
            <w:gridSpan w:val="5"/>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3"/>
                <w:szCs w:val="13"/>
                <w:color w:val="auto"/>
              </w:rPr>
            </w:pP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960" w:type="dxa"/>
            <w:vAlign w:val="bottom"/>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Borders>
              <w:top w:val="single" w:sz="8" w:color="auto"/>
              <w:bottom w:val="single" w:sz="8" w:color="auto"/>
            </w:tcBorders>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93"/>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34"/>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37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980" w:type="dxa"/>
            <w:vAlign w:val="bottom"/>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3"/>
                <w:szCs w:val="13"/>
                <w:color w:val="auto"/>
              </w:rPr>
              <w:t>65,591,701</w:t>
            </w:r>
          </w:p>
        </w:tc>
        <w:tc>
          <w:tcPr>
            <w:tcW w:w="2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179,773</w:t>
            </w:r>
          </w:p>
        </w:tc>
        <w:tc>
          <w:tcPr>
            <w:tcW w:w="100" w:type="dxa"/>
            <w:vAlign w:val="bottom"/>
            <w:shd w:val="clear" w:color="auto" w:fill="CFF0FC"/>
          </w:tcPr>
          <w:p>
            <w:pPr>
              <w:spacing w:after="0"/>
              <w:rPr>
                <w:sz w:val="12"/>
                <w:szCs w:val="12"/>
                <w:color w:val="auto"/>
              </w:rPr>
            </w:pPr>
          </w:p>
        </w:tc>
        <w:tc>
          <w:tcPr>
            <w:tcW w:w="1120" w:type="dxa"/>
            <w:vAlign w:val="bottom"/>
            <w:tcBorders>
              <w:left w:val="single" w:sz="8" w:color="auto"/>
            </w:tcBorders>
            <w:gridSpan w:val="2"/>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3"/>
                <w:szCs w:val="13"/>
                <w:color w:val="auto"/>
              </w:rPr>
              <w:t>884,030</w:t>
            </w:r>
          </w:p>
        </w:tc>
        <w:tc>
          <w:tcPr>
            <w:tcW w:w="780" w:type="dxa"/>
            <w:vAlign w:val="bottom"/>
            <w:gridSpan w:val="2"/>
            <w:shd w:val="clear" w:color="auto" w:fill="CFF0FC"/>
          </w:tcPr>
          <w:p>
            <w:pPr>
              <w:jc w:val="right"/>
              <w:ind w:righ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9</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3"/>
                <w:szCs w:val="13"/>
                <w:color w:val="auto"/>
              </w:rPr>
              <w:t>7,007</w:t>
            </w:r>
          </w:p>
        </w:tc>
        <w:tc>
          <w:tcPr>
            <w:tcW w:w="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(157,789)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(150,773)</w:t>
            </w:r>
          </w:p>
        </w:tc>
        <w:tc>
          <w:tcPr>
            <w:tcW w:w="0" w:type="dxa"/>
            <w:vAlign w:val="bottom"/>
          </w:tcPr>
          <w:p>
            <w:pPr>
              <w:spacing w:after="0"/>
              <w:rPr>
                <w:sz w:val="1"/>
                <w:szCs w:val="1"/>
                <w:color w:val="auto"/>
              </w:rPr>
            </w:pPr>
          </w:p>
        </w:tc>
      </w:tr>
      <w:tr>
        <w:trPr>
          <w:trHeight w:val="148"/>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(17,740)</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left w:val="single" w:sz="8" w:color="auto"/>
            </w:tcBorders>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119,226</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358</w:t>
            </w:r>
          </w:p>
        </w:tc>
        <w:tc>
          <w:tcPr>
            <w:tcW w:w="0" w:type="dxa"/>
            <w:vAlign w:val="bottom"/>
          </w:tcPr>
          <w:p>
            <w:pPr>
              <w:spacing w:after="0"/>
              <w:rPr>
                <w:sz w:val="1"/>
                <w:szCs w:val="1"/>
                <w:color w:val="auto"/>
              </w:rPr>
            </w:pPr>
          </w:p>
        </w:tc>
      </w:tr>
      <w:tr>
        <w:trPr>
          <w:trHeight w:val="148"/>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82"/>
        </w:trPr>
        <w:tc>
          <w:tcPr>
            <w:tcW w:w="372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March 31, 2026</w:t>
            </w:r>
          </w:p>
        </w:tc>
        <w:tc>
          <w:tcPr>
            <w:tcW w:w="980" w:type="dxa"/>
            <w:vAlign w:val="bottom"/>
            <w:tcBorders>
              <w:top w:val="single" w:sz="8" w:color="auto"/>
              <w:bottom w:val="single" w:sz="8" w:color="auto"/>
            </w:tcBorders>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65,591,701</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179,773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left w:val="single" w:sz="8" w:color="CFF0FC"/>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1,003,256</w:t>
            </w: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ind w:right="5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7,771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(175,529)</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(167,748)</w:t>
            </w:r>
          </w:p>
        </w:tc>
        <w:tc>
          <w:tcPr>
            <w:tcW w:w="0" w:type="dxa"/>
            <w:vAlign w:val="bottom"/>
          </w:tcPr>
          <w:p>
            <w:pPr>
              <w:spacing w:after="0"/>
              <w:rPr>
                <w:sz w:val="1"/>
                <w:szCs w:val="1"/>
                <w:color w:val="auto"/>
              </w:rPr>
            </w:pPr>
          </w:p>
        </w:tc>
      </w:tr>
      <w:tr>
        <w:trPr>
          <w:trHeight w:val="37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00" w:type="dxa"/>
            <w:vAlign w:val="bottom"/>
            <w:gridSpan w:val="5"/>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3"/>
                <w:szCs w:val="13"/>
                <w:color w:val="auto"/>
              </w:rPr>
            </w:pP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960" w:type="dxa"/>
            <w:vAlign w:val="bottom"/>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Borders>
              <w:top w:val="single" w:sz="8" w:color="auto"/>
              <w:bottom w:val="single" w:sz="8" w:color="auto"/>
            </w:tcBorders>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93"/>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34"/>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37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980" w:type="dxa"/>
            <w:vAlign w:val="bottom"/>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3"/>
                <w:szCs w:val="13"/>
                <w:color w:val="auto"/>
              </w:rPr>
              <w:t>40,892,855</w:t>
            </w:r>
          </w:p>
        </w:tc>
        <w:tc>
          <w:tcPr>
            <w:tcW w:w="2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114,826</w:t>
            </w:r>
          </w:p>
        </w:tc>
        <w:tc>
          <w:tcPr>
            <w:tcW w:w="100" w:type="dxa"/>
            <w:vAlign w:val="bottom"/>
            <w:shd w:val="clear" w:color="auto" w:fill="CFF0FC"/>
          </w:tcPr>
          <w:p>
            <w:pPr>
              <w:spacing w:after="0"/>
              <w:rPr>
                <w:sz w:val="12"/>
                <w:szCs w:val="12"/>
                <w:color w:val="auto"/>
              </w:rPr>
            </w:pPr>
          </w:p>
        </w:tc>
        <w:tc>
          <w:tcPr>
            <w:tcW w:w="1120" w:type="dxa"/>
            <w:vAlign w:val="bottom"/>
            <w:tcBorders>
              <w:left w:val="single" w:sz="8" w:color="auto"/>
            </w:tcBorders>
            <w:gridSpan w:val="2"/>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3"/>
                <w:szCs w:val="13"/>
                <w:color w:val="auto"/>
              </w:rPr>
              <w:t>776,701</w:t>
            </w:r>
          </w:p>
        </w:tc>
        <w:tc>
          <w:tcPr>
            <w:tcW w:w="780" w:type="dxa"/>
            <w:vAlign w:val="bottom"/>
            <w:gridSpan w:val="2"/>
            <w:shd w:val="clear" w:color="auto" w:fill="CFF0FC"/>
          </w:tcPr>
          <w:p>
            <w:pPr>
              <w:jc w:val="right"/>
              <w:ind w:right="5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3"/>
                <w:szCs w:val="13"/>
                <w:color w:val="auto"/>
              </w:rPr>
              <w:t>5,247</w:t>
            </w:r>
          </w:p>
        </w:tc>
        <w:tc>
          <w:tcPr>
            <w:tcW w:w="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(111,291)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(106,036)</w:t>
            </w:r>
          </w:p>
        </w:tc>
        <w:tc>
          <w:tcPr>
            <w:tcW w:w="0" w:type="dxa"/>
            <w:vAlign w:val="bottom"/>
          </w:tcPr>
          <w:p>
            <w:pPr>
              <w:spacing w:after="0"/>
              <w:rPr>
                <w:sz w:val="1"/>
                <w:szCs w:val="1"/>
                <w:color w:val="auto"/>
              </w:rPr>
            </w:pPr>
          </w:p>
        </w:tc>
      </w:tr>
      <w:tr>
        <w:trPr>
          <w:trHeight w:val="149"/>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(10,653)</w:t>
            </w:r>
          </w:p>
        </w:tc>
        <w:tc>
          <w:tcPr>
            <w:tcW w:w="0" w:type="dxa"/>
            <w:vAlign w:val="bottom"/>
          </w:tcPr>
          <w:p>
            <w:pPr>
              <w:spacing w:after="0"/>
              <w:rPr>
                <w:sz w:val="1"/>
                <w:szCs w:val="1"/>
                <w:color w:val="auto"/>
              </w:rPr>
            </w:pPr>
          </w:p>
        </w:tc>
      </w:tr>
      <w:tr>
        <w:trPr>
          <w:trHeight w:val="136"/>
        </w:trPr>
        <w:tc>
          <w:tcPr>
            <w:tcW w:w="3720" w:type="dxa"/>
            <w:vAlign w:val="bottom"/>
            <w:gridSpan w:val="2"/>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color w:val="auto"/>
              </w:rPr>
              <w:t>Issuance of Series F redeemable convertible preferred stock, net</w:t>
            </w: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left w:val="single" w:sz="8" w:color="auto"/>
            </w:tcBorders>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of</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left w:val="single" w:sz="8" w:color="auto"/>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tranche liability of $625,628 and issuance costs of $264,065</w:t>
            </w: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11,351,970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28,985</w:t>
            </w:r>
          </w:p>
        </w:tc>
        <w:tc>
          <w:tcPr>
            <w:tcW w:w="100" w:type="dxa"/>
            <w:vAlign w:val="bottom"/>
            <w:shd w:val="clear" w:color="auto" w:fill="CFF0FC"/>
          </w:tcPr>
          <w:p>
            <w:pPr>
              <w:spacing w:after="0"/>
              <w:rPr>
                <w:sz w:val="14"/>
                <w:szCs w:val="14"/>
                <w:color w:val="auto"/>
              </w:rPr>
            </w:pPr>
          </w:p>
        </w:tc>
        <w:tc>
          <w:tcPr>
            <w:tcW w:w="120" w:type="dxa"/>
            <w:vAlign w:val="bottom"/>
            <w:tcBorders>
              <w:left w:val="single" w:sz="8" w:color="auto"/>
            </w:tcBorders>
            <w:shd w:val="clear" w:color="auto" w:fill="CFF0FC"/>
          </w:tcPr>
          <w:p>
            <w:pPr>
              <w:spacing w:after="0"/>
              <w:rPr>
                <w:sz w:val="14"/>
                <w:szCs w:val="14"/>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72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color w:val="auto"/>
              </w:rPr>
              <w:t>Related Party Issuance of Series F redeemable convertible</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preferred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stock, net of tranche liability of $54,972 and issuance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of $23,202</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997,453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2,547</w:t>
            </w:r>
          </w:p>
        </w:tc>
        <w:tc>
          <w:tcPr>
            <w:tcW w:w="10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left w:val="single" w:sz="8" w:color="auto"/>
            </w:tcBorders>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65,105</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49"/>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82"/>
        </w:trPr>
        <w:tc>
          <w:tcPr>
            <w:tcW w:w="372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March 31, 2025</w:t>
            </w:r>
          </w:p>
        </w:tc>
        <w:tc>
          <w:tcPr>
            <w:tcW w:w="980" w:type="dxa"/>
            <w:vAlign w:val="bottom"/>
            <w:tcBorders>
              <w:top w:val="single" w:sz="8" w:color="auto"/>
              <w:bottom w:val="single" w:sz="8" w:color="auto"/>
            </w:tcBorders>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53,242,278</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146,358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left w:val="single" w:sz="8" w:color="CFF0FC"/>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841,806</w:t>
            </w: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ind w:right="5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5,658</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(121,944)</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-2729230</wp:posOffset>
            </wp:positionV>
            <wp:extent cx="33655" cy="299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-1962150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-1945005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-2172335</wp:posOffset>
            </wp:positionV>
            <wp:extent cx="81280" cy="248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280" cy="24828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-1962150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-1945005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-1962150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-1962150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-1945005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-1962150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-1945005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-1452245</wp:posOffset>
            </wp:positionV>
            <wp:extent cx="33655" cy="29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-234950</wp:posOffset>
            </wp:positionV>
            <wp:extent cx="81280" cy="248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280" cy="24828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Mobia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09"/>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payable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related party issuance of convertible notes payable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Series F redeemable convertible preferred stock,</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of issuance costs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29,611</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related party issuance of Series F redeemable convertible</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net of issuance costs</w:t>
            </w: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39,908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32,424</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22,138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22,678</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33,587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14,620</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55,725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37,298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flows information</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-2725420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-2150745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-762635</wp:posOffset>
            </wp:positionV>
            <wp:extent cx="111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Mobia Medical,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Unaudited Interim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Mobia Medical, Inc. (the “Company”) was incorporated in Delaware in March 2007. Effective February 23, 2026, the Company amended its articles of incorporation to change its name from MicroTransponder, Inc. to Mobia Medical, Inc. The change was solely a corporate name change and had no impact on the Company’s financial statements.</w:t>
      </w:r>
    </w:p>
    <w:p>
      <w:pPr>
        <w:spacing w:after="0" w:line="176"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Company develops, markets, and sells devices for the treatment of medical conditions. The first device brought to market, the Vivistim Paired VNS System (“Vivistim System”), received U.S. Food and Drug Administration premarket approval in 2021 and is intended to be used by chronic ischemic stroke survivors with moderate to severe upper extremity impairments to reduce upper extremity motor deficits and improve motor function. The Vivistim System was first brought to market in 2022, with the first commercial implant in May 2022, and commenced full commercial launch in 2023.</w:t>
      </w:r>
    </w:p>
    <w:p>
      <w:pPr>
        <w:spacing w:after="0" w:line="176" w:lineRule="exact"/>
        <w:rPr>
          <w:sz w:val="20"/>
          <w:szCs w:val="20"/>
          <w:color w:val="auto"/>
        </w:rPr>
      </w:pPr>
    </w:p>
    <w:p>
      <w:pPr>
        <w:ind w:right="80" w:firstLine="37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 </w:t>
      </w:r>
      <w:r>
        <w:rPr>
          <w:rFonts w:ascii="Times New Roman" w:cs="Times New Roman" w:eastAsia="Times New Roman" w:hAnsi="Times New Roman"/>
          <w:sz w:val="18"/>
          <w:szCs w:val="18"/>
          <w:color w:val="auto"/>
        </w:rPr>
        <w:t>In May 2026, the Company completed its initial public offering (“IPO”) in which it sold 10,000,000 shares of its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at a public offering price of $15.00 per share, for net proceeds of approximately $134.5 million, after deducting the underwriters’ discounts and commissions, and estimated offering costs paid by the Company. In addition, immediately prior to the completion of the IPO, all the outstanding shares of the Company’s redeemable convertible preferred stock were converted into an aggregate of 18,831,868 shares of common stock, and the Company's convertible promissory notes issued during the three months ended March 31, 2026 were converted into an aggregate of 3,333,324 shares of common stock.</w:t>
      </w:r>
    </w:p>
    <w:p>
      <w:pPr>
        <w:spacing w:after="0" w:line="18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 </w:t>
      </w:r>
      <w:r>
        <w:rPr>
          <w:rFonts w:ascii="Times New Roman" w:cs="Times New Roman" w:eastAsia="Times New Roman" w:hAnsi="Times New Roman"/>
          <w:sz w:val="18"/>
          <w:szCs w:val="18"/>
          <w:color w:val="auto"/>
        </w:rPr>
        <w:t>The Company’s activities are subject to significant risks and uncertainties, including, but not limited to, failure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effectively, reliance on the success of the Vivistim System, new technological innovations, dependence upon third-party payers to provide adequate coverage and reimbursement to our customers, the absence of a national coverage determination or local coverage determinations applicable to its device administered by the Centers for Medicare and Medicaid Services (CMS), dependence on key personnel, dependence on key suppliers, protection of proprietary technology, product liability, and compliance with government regulations. The Company is also subject to risks relating to cybersecurity and the protection of confidential information and personal information, as well as risks relating to evolving regulatory requirements (including potential additional clinical evidence requirements) that could affect commercialization of existing or future products. These risks and uncertainties, as well as failure to secure additional funding, if needed, can adversely affect the Company’s future financial results, financial position, and cash flow.</w:t>
      </w:r>
    </w:p>
    <w:p>
      <w:pPr>
        <w:spacing w:after="0" w:line="189" w:lineRule="exact"/>
        <w:rPr>
          <w:sz w:val="20"/>
          <w:szCs w:val="20"/>
          <w:color w:val="auto"/>
        </w:rPr>
      </w:pPr>
    </w:p>
    <w:p>
      <w:pPr>
        <w:jc w:val="both"/>
        <w:ind w:right="280" w:firstLine="374"/>
        <w:spacing w:after="0" w:line="266" w:lineRule="auto"/>
        <w:rPr>
          <w:sz w:val="20"/>
          <w:szCs w:val="20"/>
          <w:color w:val="auto"/>
        </w:rPr>
      </w:pPr>
      <w:r>
        <w:rPr>
          <w:rFonts w:ascii="Times New Roman" w:cs="Times New Roman" w:eastAsia="Times New Roman" w:hAnsi="Times New Roman"/>
          <w:sz w:val="18"/>
          <w:szCs w:val="18"/>
          <w:color w:val="auto"/>
        </w:rPr>
        <w:t>In addition, economic conditions in the United States, including any economic disruptions, inflationary, or supply chain pressures, may adversely impact the Company’s future financial results. The Company uses contract manufacturers in Uruguay to supply key products. Political instability or the deterioration of trade relations, including implementation of new tariffs and trade restrictions, could adversely impact the Company’s business.</w:t>
      </w:r>
    </w:p>
    <w:p>
      <w:pPr>
        <w:spacing w:after="0" w:line="172"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maintains its cash deposits with high credit quality financial institutions. At times, such deposits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excess of the Federal Deposit Insurance Corporation insured limits; however, management does not believe it is exposed to any significant credit risk. All such accounts are monitored by management to mitigate risk and cash equivalents are invested in highly rated money market funds.</w:t>
      </w:r>
    </w:p>
    <w:p>
      <w:pPr>
        <w:spacing w:after="0" w:line="171" w:lineRule="exact"/>
        <w:rPr>
          <w:sz w:val="20"/>
          <w:szCs w:val="20"/>
          <w:color w:val="auto"/>
        </w:rPr>
      </w:pPr>
    </w:p>
    <w:p>
      <w:pPr>
        <w:ind w:right="20"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Supplier concentration risk </w:t>
      </w:r>
      <w:r>
        <w:rPr>
          <w:rFonts w:ascii="Times New Roman" w:cs="Times New Roman" w:eastAsia="Times New Roman" w:hAnsi="Times New Roman"/>
          <w:sz w:val="18"/>
          <w:szCs w:val="18"/>
          <w:color w:val="auto"/>
        </w:rPr>
        <w:t>– The Company depends on a small number of third-party contract manufacturers and suppliers, some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source, to produce and package all elements comprising our Vivistim System as well as certain implantation tools, and if these suppliers and manufacturers fail to supply the Vivistim System or its components or subcomponents in sufficient quantities or at all, it will have a material adverse effect on our business, financial condition, and results of operations.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 Liquidity and Going Concern</w:t>
      </w:r>
    </w:p>
    <w:p>
      <w:pPr>
        <w:spacing w:after="0" w:line="121"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These condensed unaudited interim financial statements were prepared on a going concern basis. The going concern basis assumes that the Company will continue in operation for the foreseeable future and will be able to realize its assets and discharge its liabilities and commitments in the normal course of business.</w:t>
      </w:r>
    </w:p>
    <w:p>
      <w:pPr>
        <w:spacing w:after="0" w:line="176"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its inception. For the three months ended March 31, 2026, the Company had a net loss of $17.7 million and had an accumulated deficit of $175.5 million as of March 31, 2026. Additionally, the Company has generated negative cash flows from operations for the three months ended March 31, 2026.</w:t>
      </w:r>
    </w:p>
    <w:p>
      <w:pPr>
        <w:spacing w:after="0" w:line="176"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Since inception, the Company has financed its activities principally from the issuance of preferred stock, debt financing arrangements, revenue from sales of the Vivistim System and, subsequent to March 31, 2026, net proceeds from the IPO completed in May 2026. The Company believes that its operating losses and negative operating cash flows will continue into the foreseeable future. There can be no assurance that the Company’s products will generate sufficient revenue for the Company to achieve profitable operations.</w:t>
      </w:r>
    </w:p>
    <w:p>
      <w:pPr>
        <w:spacing w:after="0" w:line="180"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Based on its current operating plan, the Company plans significant increases in marketing expenditures to facilitate further awareness and adoption of the Vivistim System, spending on research and development, including regulatory affairs and clinical studies, and costs related to scaling the Company’s commercial operations and infrastructure. In addition, general and administrative expenses are expected to increase following the Company’s IPO due to the additional costs associated with being a public company. As discussed in previous filings (including the Company’s annual financial statements for the periods ended December 31, 2024 and 2025 included in the prospectus), the Company had previously concluded that the aforementioned factors raised substantial doubt about its ability to continue as a going concern. In May 2026, the Company completed its IPO and received net proceeds of approximately $134.5 million. As a result, the Company’s cash on hand, together with the net proceeds received from the IPO, is now expected to be sufficient to fund the Company’s operations for at least one year from the date these condensed unaudited interim financial statements are issued.</w:t>
      </w:r>
    </w:p>
    <w:p>
      <w:pPr>
        <w:spacing w:after="0" w:line="192" w:lineRule="exact"/>
        <w:rPr>
          <w:sz w:val="20"/>
          <w:szCs w:val="20"/>
          <w:color w:val="auto"/>
        </w:rPr>
      </w:pPr>
    </w:p>
    <w:p>
      <w:pPr>
        <w:jc w:val="both"/>
        <w:ind w:right="320" w:firstLine="374"/>
        <w:spacing w:after="0" w:line="266" w:lineRule="auto"/>
        <w:rPr>
          <w:sz w:val="20"/>
          <w:szCs w:val="20"/>
          <w:color w:val="auto"/>
        </w:rPr>
      </w:pPr>
      <w:r>
        <w:rPr>
          <w:rFonts w:ascii="Times New Roman" w:cs="Times New Roman" w:eastAsia="Times New Roman" w:hAnsi="Times New Roman"/>
          <w:sz w:val="18"/>
          <w:szCs w:val="18"/>
          <w:color w:val="auto"/>
        </w:rPr>
        <w:t>If future revenue is not sufficient or if sufficient funds on acceptable terms are not available when needed, the Company may be required to curtail planned activities to significantly reduce its operating expenses. Failure to manage discretionary spending or raise additional financing, as needed, may have a material adverse effect on the Company’s future viability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and Reporting Policies</w:t>
      </w:r>
    </w:p>
    <w:p>
      <w:pPr>
        <w:spacing w:after="0" w:line="117"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condensed unaudited interim financial statements do not include all disclosures, including certain notes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(“GAAP”) on an annual reporting basis. The condensed unaudited interim financial statements have been prepared on the same basis as the annual financial statements. In management’s opinion, the condensed unaudited interim financial statements reflect all adjustments (consisting only of normal recurring adjustments) necessary for a fair statement of the condensed balance sheets, condensed statements of operations, condensed statements of redeemable convertible preferred stock and stockholders’ deficit, and condensed statements of cash flows for the interim periods, but are not necessarily indicative of the results of operations to be anticipated for the full fiscal year or any future period. The condensed unaudited interim financial statements should be read in conjunction with the audited financial statements and notes thereto for the year ended December 31, 2025 included in the Company’s prospectus dated May 7, 2026 filed pursuant to Rule 424(b)(4) with the U.S. Securities and Exchange Commission (the “SEC”) on May 8, 2026.</w:t>
      </w:r>
    </w:p>
    <w:p>
      <w:pPr>
        <w:spacing w:after="0" w:line="19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financial statements are presented in thousands, except for share and per share amounts. Certain prior period amounts presented in the Company’s Registration Statement on Form S-1 have been rounded to the nearest thousand to conform to the current period’s presentation. Accordingly, certain prior period figures may differ slightly from previously filed reports presented in whole dollars.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20"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Reverse Stock Split </w:t>
      </w:r>
      <w:r>
        <w:rPr>
          <w:rFonts w:ascii="Times New Roman" w:cs="Times New Roman" w:eastAsia="Times New Roman" w:hAnsi="Times New Roman"/>
          <w:sz w:val="18"/>
          <w:szCs w:val="18"/>
          <w:color w:val="auto"/>
        </w:rPr>
        <w:t>– In connection with the IPO, on May 1, 2026 the Company effected a 1-for-3.483 reverse stock split of its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All references to common stock issued and outstanding, stock options, loss per share and per share amounts presented in the accompanying financial statements and notes thereto have been retroactively adjusted for all periods presented to reflect the reverse stock split. The per share par value, authorized numbers of shares of the Company’s common stock and redeemable convertible preferred stock, issued and outstanding number of shares of redeemable convertible preferred stock, and redeemable convertible preferred stock warrants were not adjusted as a result of the reverse stock split. Instead, the conversion ratio was updated whereby each share of each series of Preferred Stock was convertible into shares of common stock on a 1-for-3.483 basis.</w:t>
      </w:r>
    </w:p>
    <w:p>
      <w:pPr>
        <w:spacing w:after="0" w:line="183" w:lineRule="exact"/>
        <w:rPr>
          <w:sz w:val="20"/>
          <w:szCs w:val="20"/>
          <w:color w:val="auto"/>
        </w:rPr>
      </w:pPr>
    </w:p>
    <w:p>
      <w:pPr>
        <w:ind w:right="18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disclosure of contingent assets and liabilities at the date of the financial statements and the reported amounts of revenues and expenses during the reporting period. Significant estimates and assumptions include, but are not limited to, stock compensation, valuation of common and preferred stock, valuation of warrant liability, product warranty liability, and redeemable convertible preferred stock tranche liability. Actual results could differ from those estimates.</w:t>
      </w:r>
    </w:p>
    <w:p>
      <w:pPr>
        <w:spacing w:after="0" w:line="179"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Emerging Growth Company Status </w:t>
      </w:r>
      <w:r>
        <w:rPr>
          <w:rFonts w:ascii="Times New Roman" w:cs="Times New Roman" w:eastAsia="Times New Roman" w:hAnsi="Times New Roman"/>
          <w:sz w:val="18"/>
          <w:szCs w:val="18"/>
          <w:color w:val="auto"/>
        </w:rPr>
        <w:t>– The Company is an emerging growth company (“EGC”), as defined in the Jumpstart Our Business Startups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(the “JOBS Act”), enacted in 2012. Under the JOBS Act, EGCs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w:t>
      </w:r>
    </w:p>
    <w:p>
      <w:pPr>
        <w:spacing w:after="0" w:line="179" w:lineRule="exact"/>
        <w:rPr>
          <w:sz w:val="20"/>
          <w:szCs w:val="20"/>
          <w:color w:val="auto"/>
        </w:rPr>
      </w:pPr>
    </w:p>
    <w:p>
      <w:pPr>
        <w:ind w:right="6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The Company operates and manages its business as a single reportable and operating segment. Operating segments are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components of an enterprise where separate financial information is evaluated regularly by the chief operating decision maker (CODM) in deciding how to allocate resources and assess performance. The Company’s CODM is the Chief Executive Officer, who reviews financial information on a company-wide basis for purposes of allocating resources and assessing financial performance and does not regularly review expenses or financial results on a more granular level. For additional segment reporting information, refer to Note 14.</w:t>
      </w:r>
    </w:p>
    <w:p>
      <w:pPr>
        <w:spacing w:after="0" w:line="179" w:lineRule="exact"/>
        <w:rPr>
          <w:sz w:val="20"/>
          <w:szCs w:val="20"/>
          <w:color w:val="auto"/>
        </w:rPr>
      </w:pPr>
    </w:p>
    <w:p>
      <w:pPr>
        <w:ind w:right="68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There have been no material changes to the Company’s significant accounting policies as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audited financial statements for the year ended December 31, 2025.</w:t>
      </w:r>
    </w:p>
    <w:p>
      <w:pPr>
        <w:spacing w:after="0" w:line="155" w:lineRule="exact"/>
        <w:rPr>
          <w:sz w:val="20"/>
          <w:szCs w:val="20"/>
          <w:color w:val="auto"/>
        </w:rPr>
      </w:pPr>
    </w:p>
    <w:p>
      <w:pPr>
        <w:ind w:right="22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Deferred Offering Costs </w:t>
      </w:r>
      <w:r>
        <w:rPr>
          <w:rFonts w:ascii="Times New Roman" w:cs="Times New Roman" w:eastAsia="Times New Roman" w:hAnsi="Times New Roman"/>
          <w:sz w:val="18"/>
          <w:szCs w:val="18"/>
          <w:color w:val="auto"/>
        </w:rPr>
        <w:t>– Deferred offering costs consisted of legal and accounting fees incurred directly related to the Company's IPO.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IPO, these costs were recorded as a reduction of the offering proceeds included within additional paid-in capital. Unpaid offering costs during the three months ended March 31, 2026 were $2.2 million.</w:t>
      </w:r>
    </w:p>
    <w:p>
      <w:pPr>
        <w:spacing w:after="0" w:line="171" w:lineRule="exact"/>
        <w:rPr>
          <w:sz w:val="20"/>
          <w:szCs w:val="20"/>
          <w:color w:val="auto"/>
        </w:rPr>
      </w:pPr>
    </w:p>
    <w:p>
      <w:pPr>
        <w:ind w:right="28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Inventory </w:t>
      </w:r>
      <w:r>
        <w:rPr>
          <w:rFonts w:ascii="Times New Roman" w:cs="Times New Roman" w:eastAsia="Times New Roman" w:hAnsi="Times New Roman"/>
          <w:sz w:val="18"/>
          <w:szCs w:val="18"/>
          <w:color w:val="auto"/>
        </w:rPr>
        <w:t>– Inventory costs are comprised primarily of finished goods and raw materials and include the acquisition costs of raw materials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in addition to direct labor and overhead. All inventory is stated at the lower of cost or net realizable value and is accounted for on a first in, first out (FIFO) basis.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balance of inventory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30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1,188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4,861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4,265</w:t>
            </w:r>
          </w:p>
        </w:tc>
      </w:tr>
      <w:tr>
        <w:trPr>
          <w:trHeight w:val="230"/>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6,049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5,457</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both"/>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inventory during each reporting period, and, if applicable, writes down any excess and obsolete inventories to their estimated net realizable value in the period in which the impairment is first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right="20"/>
        <w:spacing w:after="0" w:line="266" w:lineRule="auto"/>
        <w:rPr>
          <w:sz w:val="20"/>
          <w:szCs w:val="20"/>
          <w:color w:val="auto"/>
        </w:rPr>
      </w:pPr>
      <w:r>
        <w:rPr>
          <w:rFonts w:ascii="Times New Roman" w:cs="Times New Roman" w:eastAsia="Times New Roman" w:hAnsi="Times New Roman"/>
          <w:sz w:val="18"/>
          <w:szCs w:val="18"/>
          <w:color w:val="auto"/>
        </w:rPr>
        <w:t>identified. The determination of whether inventory costs will be realizable requires estimates by management. If actual market conditions are less favorable than projected by management, additional write-downs of inventory may be required. There were no expenses recorded for excess inventory or other impairments for each of the three months ended March 31, 2026 and March 31, 2025.</w:t>
      </w:r>
    </w:p>
    <w:p>
      <w:pPr>
        <w:spacing w:after="0" w:line="172" w:lineRule="exact"/>
        <w:rPr>
          <w:sz w:val="20"/>
          <w:szCs w:val="20"/>
          <w:color w:val="auto"/>
        </w:rPr>
      </w:pPr>
    </w:p>
    <w:p>
      <w:pPr>
        <w:ind w:right="6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color w:val="auto"/>
        </w:rPr>
        <w:t>– The Company’s Chief Financial Officer held an indirect ownership interest in Exceller Hunt MicroTransponder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(“Exceller Hunt”) and the Curnes Fund 2001 (“Curnes Fund”), both of which are stockholders of the Company. Jordan Curnes, the Company’s Co-founder and a former member of the Board of Directors, also held an indirect ownership interest in the Curnes Fund. Entities affiliated with U.S. Venture Partners, GPG Healthcare Opportunities Fund, LLC, and Osage University Partners are principal stockholders of the Company. Casey Tansey is a member of the Board of Directors.</w:t>
      </w:r>
    </w:p>
    <w:p>
      <w:pPr>
        <w:spacing w:after="0" w:line="18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Exceller Hunt and the Curnes Fund participated in the Company’s issuance of convertible promissory notes discussed in Note 6 and purchased approximately $4.0 million and $2.1 million of such notes, respectively. Entities affiliated with U.S. Venture Partners, GPG Healthcare Opportunities Fund, LLC, Osage University Partners, and Casey Tansey also participated in the Company's issuance of convertible promissory notes discussed in Note 6 and purchased approximately $3.8 million, $7.4 million, $6.6 million and $2.0 million of such notes, respectively. The convertible promissory notes were issued on the same terms and conditions as those offered to other investors in the financing. Other transactions with related parties in the three months ended March 31, 2026 were immaterial.</w:t>
      </w:r>
    </w:p>
    <w:p>
      <w:pPr>
        <w:spacing w:after="0" w:line="187"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Exceller Hunt and the Curnes Fund acquired 569,973 and 427,480 shares of the Company's Series F redeemable convertible preferred stock, respectively, at a price of $2.6317 per share. Entities affiliated with U.S. Venture Partners, GPG Healthcare Opportunities Fund, LLC, and Osage University Partners also participated in the Company's Series E and Series F redeemable convertible preferred stock financings on the same terms and conditions as other investors.</w:t>
      </w:r>
    </w:p>
    <w:p>
      <w:pPr>
        <w:spacing w:after="0" w:line="176"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Standards </w:t>
      </w:r>
      <w:r>
        <w:rPr>
          <w:rFonts w:ascii="Times New Roman" w:cs="Times New Roman" w:eastAsia="Times New Roman" w:hAnsi="Times New Roman"/>
          <w:sz w:val="18"/>
          <w:szCs w:val="18"/>
          <w:color w:val="auto"/>
        </w:rPr>
        <w:t>– On December 14, 2023, the FASB issued ASU 2023-09, Income Taxes (Topic 740): Improvements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Disclosures,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however, as an EGC, the Company has elected to use the extended transition period for adopting new or revised accounting standards, and therefore the guidance will be effective for the Company for the year ended December 31, 2026. The adoption of ASU 2023-09 is expected to have a disclosure-only impact on the Company’s financial statements for the year ended December 31, 2026. The Company is currently evaluating the impact of this pronouncement on the disclosures in its financial statements.</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 Expense Disaggregation Disclosures (Subtopic 220-40): Disaggregation of Income Statement Expenses, which requires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with early adoption permitted. The amendments may be applied either (i) prospectively to financial statements issued for reporting periods after the effective date of this ASU or (ii) retrospectively to all prior periods presented in the financial statements. The Company is currently evaluating the impact of this pronouncement on the disclosures in its financial statements.</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On November 26, 2024, the FASB issued ASU 2024-04, Debt – Debt with Conversion and Other Options (Subtopic 470-20), which clarifies the requirements for determining whether certain settlements of convertible debt instruments should be accounted for as an induced conversion rather than as extinguishment of debt. The amendments may be applied on either a prospective or a retrospective basis. This ASU is effective for fiscal years beginning after December 15, 2025, and interim periods within those annual reporting periods. The Company adopted ASU 2024-04 as of January 1, 2026, on a prospective basis and it did not have a material impact on its financial statements.</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3" w:name="page14"/>
    <w:bookmarkEnd w:id="13"/>
    <w:p>
      <w:pPr>
        <w:ind w:firstLine="374"/>
        <w:spacing w:after="0" w:line="255" w:lineRule="auto"/>
        <w:rPr>
          <w:sz w:val="20"/>
          <w:szCs w:val="20"/>
          <w:color w:val="auto"/>
        </w:rPr>
      </w:pPr>
      <w:r>
        <w:rPr>
          <w:rFonts w:ascii="Times New Roman" w:cs="Times New Roman" w:eastAsia="Times New Roman" w:hAnsi="Times New Roman"/>
          <w:sz w:val="18"/>
          <w:szCs w:val="18"/>
          <w:color w:val="auto"/>
        </w:rPr>
        <w:t>On December 8, 2025, the FASB issued ASU 2025-11, Interim Reporting (Topic 270) Narrow-Scope Improvements, which is intended to improve the navigability of interim disclosures, clarifies when Topic 270 applies, and provides additional interim disclosure guidance, including a principle to disclose material events since the most recent annual reporting period. The amendments do not change the underlying objectives of interim reporting but are designed to enhance clarity in application. This ASU is effective for interim reporting periods within annual reporting periods beginning after December 15, 2027; however, as an EGC, the Company has elected to use the extended transition period for adopting new or revised accounting standards, and therefore the guidance will be effective for the Company for interim periods within annual periods beginning after December 15, 2028. The Company is currently evaluating the impact of this pronouncement on its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119"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82" w:lineRule="exact"/>
        <w:rPr>
          <w:sz w:val="20"/>
          <w:szCs w:val="20"/>
          <w:color w:val="auto"/>
        </w:rPr>
      </w:pPr>
    </w:p>
    <w:p>
      <w:pPr>
        <w:ind w:right="68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quoted prices (unadjusted) in active markets that are accessible at the measurement date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The fair value hierarchy gives the highest priority to Level 1 inputs.</w:t>
      </w:r>
    </w:p>
    <w:p>
      <w:pPr>
        <w:spacing w:after="0" w:line="15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This level consists of directly or indirectly observable inputs as of the reporting date through correlation with market data, including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3" w:lineRule="exact"/>
        <w:rPr>
          <w:sz w:val="20"/>
          <w:szCs w:val="20"/>
          <w:color w:val="auto"/>
        </w:rPr>
      </w:pPr>
    </w:p>
    <w:p>
      <w:pPr>
        <w:jc w:val="both"/>
        <w:ind w:right="3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that are supported by little or no market activity and reflect the use of significant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These values are generally determined using pricing models for which the assumptions utilize management’s estimates of market participant assumptions.</w:t>
      </w:r>
    </w:p>
    <w:p>
      <w:pPr>
        <w:spacing w:after="0" w:line="175"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In determining the fair value, the Company utilizes valuation techniques that maximize the use of observable inputs and minimize the unobservable inputs to the extent possible, as well as considers counterparty credit risk in its assessments of fair value.</w:t>
      </w:r>
    </w:p>
    <w:p>
      <w:pPr>
        <w:spacing w:after="0" w:line="158" w:lineRule="exact"/>
        <w:rPr>
          <w:sz w:val="20"/>
          <w:szCs w:val="20"/>
          <w:color w:val="auto"/>
        </w:rPr>
      </w:pPr>
    </w:p>
    <w:p>
      <w:pPr>
        <w:ind w:right="2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Fair Value of Liabilities – </w:t>
      </w:r>
      <w:r>
        <w:rPr>
          <w:rFonts w:ascii="Times New Roman" w:cs="Times New Roman" w:eastAsia="Times New Roman" w:hAnsi="Times New Roman"/>
          <w:sz w:val="18"/>
          <w:szCs w:val="18"/>
          <w:color w:val="auto"/>
        </w:rPr>
        <w:t>The following tables represent the Company’s financial liabilities according to the fair value hierarchy, measured at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 liabilities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882</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40,728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40,728</w:t>
            </w:r>
          </w:p>
        </w:tc>
      </w:tr>
      <w:tr>
        <w:trPr>
          <w:trHeight w:val="249"/>
        </w:trPr>
        <w:tc>
          <w:tcPr>
            <w:tcW w:w="3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41,610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41,610</w:t>
            </w:r>
          </w:p>
        </w:tc>
      </w:tr>
      <w:tr>
        <w:trPr>
          <w:trHeight w:val="561"/>
        </w:trPr>
        <w:tc>
          <w:tcPr>
            <w:tcW w:w="3880" w:type="dxa"/>
            <w:vAlign w:val="bottom"/>
            <w:tcBorders>
              <w:top w:val="single" w:sz="8" w:color="CFF0FC"/>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CFF0FC"/>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 liabilities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865</w:t>
            </w:r>
          </w:p>
        </w:tc>
      </w:tr>
      <w:tr>
        <w:trPr>
          <w:trHeight w:val="20"/>
        </w:trPr>
        <w:tc>
          <w:tcPr>
            <w:tcW w:w="38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09"/>
        </w:trPr>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865</w:t>
            </w: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710"/>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-1807845</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-1790700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-1807845</wp:posOffset>
            </wp:positionV>
            <wp:extent cx="111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-1790700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-1807845</wp:posOffset>
            </wp:positionV>
            <wp:extent cx="111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-1790700</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-1130935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-1130935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-1130935</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value of the warrants to purchase the Company’s redeemable convertible preferred stock is dependent on inputs for which there is little or no market data, in particular the value of the Company’s stock. As a result, the valuation of the warrants to purchase the Company’s redeemable convertible preferred stock is categorized as Level 3. When a determination is made to classify a financial instrument within Level 3, the determination is based upon the lowest level of significance of the unobservable inputs to the overall fair value measurement. However, Level 3 financial instruments typically include, in addition to the unobservable inputs, observable inputs (that is, components that are actively quoted and can be validated to external sources). The fair values could change significantly based on future market conditions.</w:t>
      </w:r>
    </w:p>
    <w:p>
      <w:pPr>
        <w:spacing w:after="0" w:line="187"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The fair value of the warrant liability is estimated using the option-pricing model based on the Black-Scholes-Merton model with the following inputs: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Warrants</w:t>
            </w: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1420" w:type="dxa"/>
            <w:vAlign w:val="bottom"/>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6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60" w:type="dxa"/>
            <w:vAlign w:val="bottom"/>
          </w:tcPr>
          <w:p>
            <w:pPr>
              <w:spacing w:after="0"/>
              <w:rPr>
                <w:sz w:val="12"/>
                <w:szCs w:val="12"/>
                <w:color w:val="auto"/>
              </w:rPr>
            </w:pPr>
          </w:p>
        </w:tc>
        <w:tc>
          <w:tcPr>
            <w:tcW w:w="14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Series E2 and F</w:t>
            </w:r>
          </w:p>
        </w:tc>
        <w:tc>
          <w:tcPr>
            <w:tcW w:w="0" w:type="dxa"/>
            <w:vAlign w:val="bottom"/>
          </w:tcPr>
          <w:p>
            <w:pPr>
              <w:spacing w:after="0"/>
              <w:rPr>
                <w:sz w:val="1"/>
                <w:szCs w:val="1"/>
                <w:color w:val="auto"/>
              </w:rPr>
            </w:pPr>
          </w:p>
        </w:tc>
      </w:tr>
      <w:tr>
        <w:trPr>
          <w:trHeight w:val="209"/>
        </w:trPr>
        <w:tc>
          <w:tcPr>
            <w:tcW w:w="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5680" w:type="dxa"/>
            <w:vAlign w:val="bottom"/>
            <w:gridSpan w:val="2"/>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$3.73744</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$4.20700</w:t>
            </w:r>
          </w:p>
        </w:tc>
        <w:tc>
          <w:tcPr>
            <w:tcW w:w="16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$2.54430</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15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7"/>
              </w:rPr>
              <w:t>7.2</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7.8</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75%</w:t>
            </w:r>
          </w:p>
        </w:tc>
        <w:tc>
          <w:tcPr>
            <w:tcW w:w="16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3.465%</w:t>
            </w:r>
          </w:p>
        </w:tc>
        <w:tc>
          <w:tcPr>
            <w:tcW w:w="15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3.465%</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3.465%</w:t>
            </w:r>
          </w:p>
        </w:tc>
        <w:tc>
          <w:tcPr>
            <w:tcW w:w="0" w:type="dxa"/>
            <w:vAlign w:val="bottom"/>
          </w:tcPr>
          <w:p>
            <w:pPr>
              <w:spacing w:after="0"/>
              <w:rPr>
                <w:sz w:val="1"/>
                <w:szCs w:val="1"/>
                <w:color w:val="auto"/>
              </w:rPr>
            </w:pPr>
          </w:p>
        </w:tc>
      </w:tr>
      <w:tr>
        <w:trPr>
          <w:trHeight w:val="364"/>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60" w:type="dxa"/>
            <w:vAlign w:val="bottom"/>
            <w:vMerge w:val="restart"/>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Warrants</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gridSpan w:val="2"/>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42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6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60" w:type="dxa"/>
            <w:vAlign w:val="bottom"/>
          </w:tcPr>
          <w:p>
            <w:pPr>
              <w:spacing w:after="0"/>
              <w:rPr>
                <w:sz w:val="12"/>
                <w:szCs w:val="12"/>
                <w:color w:val="auto"/>
              </w:rPr>
            </w:pPr>
          </w:p>
        </w:tc>
        <w:tc>
          <w:tcPr>
            <w:tcW w:w="14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Series E2 and F</w:t>
            </w:r>
          </w:p>
        </w:tc>
        <w:tc>
          <w:tcPr>
            <w:tcW w:w="0" w:type="dxa"/>
            <w:vAlign w:val="bottom"/>
          </w:tcPr>
          <w:p>
            <w:pPr>
              <w:spacing w:after="0"/>
              <w:rPr>
                <w:sz w:val="1"/>
                <w:szCs w:val="1"/>
                <w:color w:val="auto"/>
              </w:rPr>
            </w:pPr>
          </w:p>
        </w:tc>
      </w:tr>
      <w:tr>
        <w:trPr>
          <w:trHeight w:val="210"/>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$3.73744</w:t>
            </w:r>
          </w:p>
        </w:tc>
        <w:tc>
          <w:tcPr>
            <w:tcW w:w="15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$4.20700</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$2.54430</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15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7"/>
              </w:rPr>
              <w:t>7.4</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8.0</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80%</w:t>
            </w:r>
          </w:p>
        </w:tc>
        <w:tc>
          <w:tcPr>
            <w:tcW w:w="16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3.445%</w:t>
            </w:r>
          </w:p>
        </w:tc>
        <w:tc>
          <w:tcPr>
            <w:tcW w:w="15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3.445%</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3.445%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Company estimates volatility based upon analysis of the historical volatility of peer public companies as well as factors specific to the Company, including, but not limited to, size, expected growth and relative risk. The expected life assumption is based on the remaining contractual terms of the warrants. The risk-free rate as of March 31, 2026 and December 31, 2025 is based on the 1.5 year U.S. treasury bond yield. The expected dividend yield used is zero, because the Company has no present intention to pay cash dividends. The fair value of the warrant liability as of March 31, 2026 and December 31, 2025, was $0.9 million and $0.9 million, respectively. The change in fair value of the warrant liabilities was recorded within Other income (expense), net in the condensed statements of operations.</w:t>
      </w:r>
    </w:p>
    <w:p>
      <w:pPr>
        <w:spacing w:after="0" w:line="187"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In January and February 2026, the Company issued convertible promissory notes in an aggregate principal amount of $40.0 million (the “Convertible Notes”). The Company elected the fair value option under ASC 825 for the Convertible Notes. At issuance, the fair value of the Convertible Notes was determined based on the transaction price, which the Company concluded represented an orderly transaction between market participants. Subsequent fair value measurements are determined using a scenario-based valuation model that incorporates probability-weighted outcomes across multiple potential scenarios, including an initial public offering, financing, change of control, maturity, and default. The model incorporates discounted cash flow techniques and option-pricing methodologies to reflect the embedded conversion features and is calibrated to the transaction price at issuance and updated at each reporting date. Significant unobservable inputs used in the valuation include discount rate (including a company-specific credit spread), equity volatility, and the probability and timing of potential liquidity events. The Convertible Notes are recurring Level 3 liabilities measured under the ASC 825 fair value option.</w:t>
      </w:r>
    </w:p>
    <w:p>
      <w:pPr>
        <w:spacing w:after="0" w:line="18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of issuance, key assumptions included a discount rate of approximately 21.2%, equity volatility of approximately 85%, and expected term of 1.0 – 2.0 years. As of March 31, 2026, key assumptions included a discount rate of approximately 21.5%, equity volatility of approximately 80% and expected timing of liquidity events of 0.8 – 1.5 years. For each measurement date, the estimated probability of an initial public offering was 40% and a change of control was 20%.</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change in the fair market value of the Convertible Notes (in thousands):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9"/>
        </w:trPr>
        <w:tc>
          <w:tcPr>
            <w:tcW w:w="9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9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 payable</w:t>
            </w:r>
          </w:p>
        </w:tc>
        <w:tc>
          <w:tcPr>
            <w:tcW w:w="180" w:type="dxa"/>
            <w:vAlign w:val="bottom"/>
          </w:tcPr>
          <w:p>
            <w:pPr>
              <w:spacing w:after="0"/>
              <w:rPr>
                <w:sz w:val="18"/>
                <w:szCs w:val="18"/>
                <w:color w:val="auto"/>
              </w:rPr>
            </w:pPr>
          </w:p>
        </w:tc>
        <w:tc>
          <w:tcPr>
            <w:tcW w:w="1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728</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40,728</w:t>
            </w: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As of March 31, 2026, the aggregate principal amount of the Convertible Notes outstanding was $40.0 million and the estimated fair value of the Convertible Notes was $40.7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Product Warranties</w:t>
      </w:r>
    </w:p>
    <w:p>
      <w:pPr>
        <w:spacing w:after="0" w:line="121"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Company provides an assurance-type warranty that its products will conform to agreed-upon technical and quality specifications. The warranty provides for repair or replacement of products that fail to meet specifications or become unusable during this period, which generally ranges from one to two years, depending on the product.</w:t>
      </w:r>
    </w:p>
    <w:p>
      <w:pPr>
        <w:spacing w:after="0" w:line="176"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Company maintains a warranty reserve for implanted pulse generators (“IPGs”) and leads and began recording a warranty liability in 2024 based on historical product replacement experience. A warranty liability is recorded at the time revenue is recognized for all periods presented and is separately presented as product warranty liability on the face of the balance sheets. The warranty reserve is estimated based on historical product replacement experience. The Company establishes product replacement rates separately for IPGs and leads using historical replacement data beginning with the first full period of commercial shipments. The replacement rate represents the average historical rate of product replacement and is applied to units sold during each reporting period to estimate expected warranty obligations.</w:t>
      </w:r>
    </w:p>
    <w:p>
      <w:pPr>
        <w:spacing w:after="0" w:line="187" w:lineRule="exact"/>
        <w:rPr>
          <w:sz w:val="20"/>
          <w:szCs w:val="20"/>
          <w:color w:val="auto"/>
        </w:rPr>
      </w:pPr>
    </w:p>
    <w:p>
      <w:pPr>
        <w:jc w:val="both"/>
        <w:ind w:right="460" w:firstLine="374"/>
        <w:spacing w:after="0" w:line="261" w:lineRule="auto"/>
        <w:rPr>
          <w:sz w:val="20"/>
          <w:szCs w:val="20"/>
          <w:color w:val="auto"/>
        </w:rPr>
      </w:pPr>
      <w:r>
        <w:rPr>
          <w:rFonts w:ascii="Times New Roman" w:cs="Times New Roman" w:eastAsia="Times New Roman" w:hAnsi="Times New Roman"/>
          <w:sz w:val="18"/>
          <w:szCs w:val="18"/>
          <w:color w:val="auto"/>
        </w:rPr>
        <w:t>In developing its replacement rate assumptions, the Company evaluates historical replacement patterns over the expected product life cycle. The warranty accrual is calculated quarterly. The Company evaluates and updates its replacement rate assumptions annually, or more frequently if actual experience or product performance trends indicate that revisions are necessary. A reconciliation of the changes in the product warranty liability is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844</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1,029</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492</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Convertible Notes and Notes Payable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January and February 2026, the Company issued Convertible Notes in an aggregate principal amount of $40.0 million. The Convertible Notes bear payment-in-kind (“PIK”) interest at a rate of 7.0% per annum and mature two years from issuance unless earlier converted or repaid. The Convertible Notes are convertible into equity upon the occurrence of specified events, including a qualified financing, non-qualified financing, change of control, or initial public offering. The Convertible Notes bear no interest for the first six months following the date of issuance (the “Interest Free Period”), and in connection with an initial public offering, all accrued PIK interest is contractually waived immediately prior to conversion.</w:t>
      </w:r>
    </w:p>
    <w:p>
      <w:pPr>
        <w:spacing w:after="0" w:line="183"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under ASC 825 for the Convertible Notes in order to account for the instrument as a single unit of account, which reflects the combined effect of the debt host and the embedded features within the overall fair value measurement. Accordingly, the Convertible Notes are initially recorded at fair value and subsequently remeasured at fair value at each reporting date, with changes in fair value recognized in the statement of operations within “Change in fair value of convertible notes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6" w:name="page17"/>
    <w:bookmarkEnd w:id="16"/>
    <w:p>
      <w:pPr>
        <w:ind w:right="200"/>
        <w:spacing w:after="0" w:line="266" w:lineRule="auto"/>
        <w:rPr>
          <w:sz w:val="20"/>
          <w:szCs w:val="20"/>
          <w:color w:val="auto"/>
        </w:rPr>
      </w:pPr>
      <w:r>
        <w:rPr>
          <w:rFonts w:ascii="Times New Roman" w:cs="Times New Roman" w:eastAsia="Times New Roman" w:hAnsi="Times New Roman"/>
          <w:sz w:val="18"/>
          <w:szCs w:val="18"/>
          <w:color w:val="auto"/>
        </w:rPr>
        <w:t>payable.” This amount includes the impact of accrued PIK interest, and therefore no separate interest expense is presented for the Convertible Notes. The portion of the change in fair value attributable to changes in instrument-specific credit risk is recorded in other comprehensive income. There were no material changes in the fair value of the Convertible Notes during the period.</w:t>
      </w:r>
    </w:p>
    <w:p>
      <w:pPr>
        <w:spacing w:after="0" w:line="176"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The Convertible Notes are presented as a separate line item on the balance sheet titled “Convertible notes payable”. At issuance, the Company determined that the transaction price represented the best evidence of fair value and recorded the Convertible Notes at the proceeds received. As of March 31, 2026, the aggregate principal amount of Convertible Notes outstanding was $40.0 million and the estimated fair value was $40.7 million. See Note 4 – </w:t>
      </w: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for the discussion on the methodology and assumptions used in assessing the fair value of the Convertible Notes.</w:t>
      </w:r>
    </w:p>
    <w:p>
      <w:pPr>
        <w:spacing w:after="0" w:line="180"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Immediately prior to the completion of the IPO, the Convertible Notes issued during the three months ended March 31, 2026 were converted into an aggregate of 3,333,324 shares of common stock.</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On December 29, 2023, the Company entered into a Loan and Security Agreement (the “Loan and Security Agreement”) with Horizon Technology Finance Corporation.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Each tranche comprises two equal loans of $3,750,000. As of December 31, 2025, the Company had $7.5 million in principal outstanding under the Loan and Security Agreement (the “Notes”).</w:t>
      </w:r>
    </w:p>
    <w:p>
      <w:pPr>
        <w:spacing w:after="0" w:line="18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Borrowing under the Loan and Security Agreement accrue interest at an annual rate equal to the greater of (i) the Wall Street Journal (or any successor thereto) prime rate (subject to a floor of 8.50%) plus 3.75% and (ii) 12.25%. The Company is required to make monthly payment of interest through January 1, 2028, followed by amortizing principal and interest payments through the maturity date of January 1, 2029. The unpaid balance of principal and accrued interest is due at maturity. The borrowings are secured by substantially all of the Company’s assets, excluding intellectual property.</w:t>
      </w:r>
    </w:p>
    <w:p>
      <w:pPr>
        <w:spacing w:after="0" w:line="18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the Company’s draw down of the first tranche under the Loan and Security Agreement, the Company issued warrants to purchase such number of securities representing an aggregate of $262,500 to the lender. The warrants are exercisable at the election of the holder for (i) shares of Series E-2 redeemable convertible preferred stock at an exercise price of $2.5443 per share or, (ii) shares of Series F redeemable convertible preferred stock at an exercise price of $2.6317 per share, and expire ten years from the date of issuance. The warrants allow for settlement in shares and are transferable at the holder’s discretion. The value of the warrants is capped at $2.5443 per share, a total of $262,500, but the number of shares is not limited. Immediately prior to the completion of the IPO, the warrants automatically converted into warrants to purchase 29,622 shares of common stock with an average exercise price of $8.8618 per share.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and December 31, 2025, the carrying value of the borrowings under the Loan and Security Agreement was $7.3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million, net of unamortized debt discount and deferred financing costs. The Company amortizes deferred financing costs associated with the Notes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over the term of the Notes. The amortization of debt discount was not material for each of the three months ended March 31,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2025. The amortization of deferred financing costs was $0.1 million and immaterial for the three months ended March 31, 2026 and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respectively.</w:t>
      </w:r>
    </w:p>
    <w:p>
      <w:pPr>
        <w:spacing w:after="0" w:line="207" w:lineRule="exact"/>
        <w:rPr>
          <w:sz w:val="20"/>
          <w:szCs w:val="20"/>
          <w:color w:val="auto"/>
        </w:rPr>
      </w:pPr>
    </w:p>
    <w:p>
      <w:pPr>
        <w:jc w:val="both"/>
        <w:ind w:right="380" w:firstLine="374"/>
        <w:spacing w:after="0" w:line="266" w:lineRule="auto"/>
        <w:rPr>
          <w:sz w:val="20"/>
          <w:szCs w:val="20"/>
          <w:color w:val="auto"/>
        </w:rPr>
      </w:pPr>
      <w:r>
        <w:rPr>
          <w:rFonts w:ascii="Times New Roman" w:cs="Times New Roman" w:eastAsia="Times New Roman" w:hAnsi="Times New Roman"/>
          <w:sz w:val="18"/>
          <w:szCs w:val="18"/>
          <w:color w:val="auto"/>
        </w:rPr>
        <w:t>There were no additional borrowings, repayments, or material modifications regarding the Loan and Security Agreement during the three months ended March 31, 2026 and March 31, 2025. Total interest expense was $0.2 million for each of the three months ended March 31, 2026 and March 31, 2025.</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March 7, 2023, the Company entered into a noncancellable operating lease for office space and warehouse space. The commencement date of this lease was July 1, 2023, with an end date of July 31, 2028. Leases for all prior years were month to month. The lease contains a renewal option to extend the term for a period of five years. Because the Company is reasonably certain to exercise its renewal option, the optional period is included in determining the lease term, and associated payments under these renewal options are included in lease payments. The Company’s lease does not include termination options for either party to the lease or restrictive financial or other covenants. Payments due under the lease contract include fixed payments plus variable payments. The Company’s office space lease requires it to make variable payments for the Company’s proportionate share of the building’s property taxes, and common area operating expenses. These variable lease payments are not included in lease payments used to determine lease liability and are recognized as variable costs when incurred.</w:t>
      </w:r>
    </w:p>
    <w:p>
      <w:pPr>
        <w:spacing w:after="0" w:line="19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On March 20, 2025 the Company entered into a modification of its existing operating lease. The modification extended the lease term to April 30, 2030, expanded the office space and revised the future lease payments. Although the modification grants the Company an additional right of use at a stand-alone price, the modification also changes the scope of the original lease by extending it two additional years while also removing the renewal option. As such, the modification has been accounted for as a single contract.</w:t>
      </w:r>
    </w:p>
    <w:p>
      <w:pPr>
        <w:spacing w:after="0" w:line="180"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On August 8, 2025, the Company entered into an additional non-cancellable operating lease for office space. The commencement date of the lease was September 1, 2025, with an end date of August 31, 2028. Payments due under the lease contract include fixed payments plus variable payments. The Company’s office space lease requires it to make variable payments for the Company’s proportionate share of the building’s property taxes, and common area operating expenses. These variable lease payments are not included in lease payments used to determine lease liability and are recognized as variable costs when incurred in accordance with ASC 842.</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lease cost information are as follows (in thousands):</w:t>
      </w:r>
    </w:p>
    <w:p>
      <w:pPr>
        <w:spacing w:after="0" w:line="2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9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9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146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lease balances within the balance sheet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50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4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50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9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50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1,306</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1460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46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undiscounted future minimum lease payments as of March 31, 2026, which reconcile to the total lease liability as follows (in thousands):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months</w:t>
            </w:r>
          </w:p>
        </w:tc>
        <w:tc>
          <w:tcPr>
            <w:tcW w:w="242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38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0"/>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The weighted average lease terms and discounts rates are as follows:</w:t>
            </w: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Lease Term and Discount Rate</w:t>
            </w:r>
          </w:p>
        </w:tc>
        <w:tc>
          <w:tcPr>
            <w:tcW w:w="260" w:type="dxa"/>
            <w:vAlign w:val="bottom"/>
          </w:tcPr>
          <w:p>
            <w:pPr>
              <w:spacing w:after="0"/>
              <w:rPr>
                <w:sz w:val="24"/>
                <w:szCs w:val="24"/>
                <w:color w:val="auto"/>
              </w:rPr>
            </w:pPr>
          </w:p>
        </w:tc>
        <w:tc>
          <w:tcPr>
            <w:tcW w:w="21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60" w:type="dxa"/>
            <w:vAlign w:val="bottom"/>
            <w:shd w:val="clear" w:color="auto" w:fill="CFF0FC"/>
          </w:tcPr>
          <w:p>
            <w:pPr>
              <w:spacing w:after="0"/>
              <w:rPr>
                <w:sz w:val="18"/>
                <w:szCs w:val="18"/>
                <w:color w:val="auto"/>
              </w:rPr>
            </w:pPr>
          </w:p>
        </w:tc>
        <w:tc>
          <w:tcPr>
            <w:tcW w:w="216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9"/>
              </w:rPr>
              <w:t>3.28 years</w:t>
            </w:r>
          </w:p>
        </w:tc>
        <w:tc>
          <w:tcPr>
            <w:tcW w:w="220" w:type="dxa"/>
            <w:vAlign w:val="bottom"/>
            <w:shd w:val="clear" w:color="auto" w:fill="CFF0FC"/>
          </w:tcPr>
          <w:p>
            <w:pPr>
              <w:spacing w:after="0"/>
              <w:rPr>
                <w:sz w:val="18"/>
                <w:szCs w:val="18"/>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3.54 years</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6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10.82%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2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-3175</wp:posOffset>
            </wp:positionV>
            <wp:extent cx="2888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 from operating leases</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25</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19" w:lineRule="exact"/>
        <w:rPr>
          <w:sz w:val="20"/>
          <w:szCs w:val="20"/>
          <w:color w:val="auto"/>
        </w:rPr>
      </w:pPr>
    </w:p>
    <w:p>
      <w:pPr>
        <w:ind w:right="160" w:firstLine="37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income tax provision for interim periods is determined using an estimate of the Company’s annual effective tax rate, adjusted for discrete items recognized in the period. The Company had an effective tax rate of 0% for each of the three months ended March 31, 2026 and March 31, 2025. The Company continues to incur operating losses.</w:t>
      </w:r>
    </w:p>
    <w:p>
      <w:pPr>
        <w:spacing w:after="0" w:line="175"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For periods ended March 31, 2026 and 2025, the Company continued to maintain a full valuation allowance against its deferred tax assets as management believes it is more likely than not that these assets will not be realized based on the Company’s history of operating losses. The Company’s tax provision for interim periods primarily reflects state income taxes and other minimum taxes.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various federal tax changes, including extensions of certain</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2017 Tax Cuts and Jobs Act (“TCJA”) provisions and updates to individual and business tax rules. Management evaluated the provisions applicable to the Company and determined that OBBBA did not have a significant impact on the Company’s condensed unaudited interim financial statements for the as of and for the three months ended March 31, 2026.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Convertible Preferred Stock</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Company has issued Series A redeemable convertible preferred stock (“Series A”), Series B redeemable convertible preferred stock (“Series B”), Series C redeemable convertible preferred stock (“Series C”), Series D redeemable convertible preferred stock (“Series D”), Series E-1 redeemable convertible preferred stock (“Series E-1”), Series E-2 redeemable convertible preferred stock (“Series E-2”), and Series F redeemable convertible preferred stock (“Series F”), collectively the (“Preferred Stock”).</w:t>
      </w:r>
    </w:p>
    <w:p>
      <w:pPr>
        <w:spacing w:after="0" w:line="180"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In March 2025, the Company entered into a Series F preferred stock purchase agreement (the “Series F Agreement”) pursuant to which the Company issued 12,349,423 shares of Series F redeemable convertible preferred stock at a price of $2.6317 per share for gross cash proceeds of $32,499,977. The Series F Agreement also required the Company to issue, and the investors to purchase, an additional 12,349,423 shares of Series F redeemable convertible preferred stock at the same price per share on or around October 15, 2025 for additional gross cash proceeds of $32,499,977 (the “Series F preferred stock tranche obligation”).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classified the Series F preferred stock tranche obligation as a liability on its balance sheets as it represents a freestanding financial instrument that may require the Company to transfer assets to settle its obligation (upon events that are outside of its control). The Series F preferred stock tranche obligations were initially recorded at fair value upon the date of issuance and was subsequently remeasured to fair value at each reporting date until settlement. Changes in the fair value of the Series F preferred stock tranche obligation was recognized as a component of other income, net in the statements of operations.</w:t>
      </w:r>
    </w:p>
    <w:p>
      <w:pPr>
        <w:spacing w:after="0" w:line="183"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Series F preferred stock tranche obligation had an initial fair value of $680,600. As a result of the initial issuance of Series F in March 2025, 12,349,423 shares of Series F were recorded at their fair value of $31,532,110, net of issuance costs of $287,267. The Series F preferred stock tranche obligation was subsequently remeasured to a fair value of $797,908 as of June 30, 2025, and $915,216 as of September 30, 2025, with changes in fair value of $117,308 for the three months ended June 30, 2025 and $117,308 for the three months ended September 30, 2025 recognized as a component of other income, net in the statements of operations.</w:t>
      </w:r>
    </w:p>
    <w:p>
      <w:pPr>
        <w:spacing w:after="0" w:line="18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Series F preferred stock tranche obligation was settled in October 2025, with the issuance of 12,349,423 shares of Series F at a price of $2.6317 per share for gross cash proceeds of $32,499,977. The fair value of the Series F preferred stock tranche obligation at settlement was $915,216. As a result of the October 2025 issuance of Series F, as well as the settlement of the Series F preferred stock obligation, 12,349,423 shares of Series F were recorded at their fair value of $33,415,193. Issuance costs related to the October 2025 Series F issuance were immaterial.</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Preferred Stock consists of the following (in thousands, except for share and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5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80" w:type="dxa"/>
            <w:vAlign w:val="bottom"/>
            <w:tcBorders>
              <w:top w:val="single" w:sz="8" w:color="auto"/>
            </w:tcBorders>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 Issued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Original Issue Price</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Liquidation Value</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25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1,401,000</w:t>
            </w:r>
          </w:p>
        </w:tc>
        <w:tc>
          <w:tcPr>
            <w:tcW w:w="1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1,401,000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1.91259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2,694</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4,229,000</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3,321,000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3.73744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14,894</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w:t>
            </w:r>
          </w:p>
        </w:tc>
        <w:tc>
          <w:tcPr>
            <w:tcW w:w="25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1,362,000</w:t>
            </w:r>
          </w:p>
        </w:tc>
        <w:tc>
          <w:tcPr>
            <w:tcW w:w="1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1,362,000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4.20700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5,744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5,127,000</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4,865,000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20,467</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E-1</w:t>
            </w:r>
          </w:p>
        </w:tc>
        <w:tc>
          <w:tcPr>
            <w:tcW w:w="25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6,361,753</w:t>
            </w:r>
          </w:p>
        </w:tc>
        <w:tc>
          <w:tcPr>
            <w:tcW w:w="1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6,361,753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2.03540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15,841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12,949</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Series E-2</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23,994,804</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23,582,102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2.54430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F</w:t>
            </w:r>
          </w:p>
        </w:tc>
        <w:tc>
          <w:tcPr>
            <w:tcW w:w="8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24,698,846</w:t>
            </w:r>
          </w:p>
        </w:tc>
        <w:tc>
          <w:tcPr>
            <w:tcW w:w="1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24,698,846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2.63170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64,947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0"/>
        </w:trPr>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8"/>
                <w:szCs w:val="18"/>
                <w:color w:val="auto"/>
              </w:rPr>
            </w:pPr>
          </w:p>
        </w:tc>
        <w:tc>
          <w:tcPr>
            <w:tcW w:w="16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67,174,403</w:t>
            </w:r>
          </w:p>
        </w:tc>
        <w:tc>
          <w:tcPr>
            <w:tcW w:w="140" w:type="dxa"/>
            <w:vAlign w:val="bottom"/>
          </w:tcPr>
          <w:p>
            <w:pPr>
              <w:spacing w:after="0"/>
              <w:rPr>
                <w:sz w:val="18"/>
                <w:szCs w:val="18"/>
                <w:color w:val="auto"/>
              </w:rPr>
            </w:pPr>
          </w:p>
        </w:tc>
        <w:tc>
          <w:tcPr>
            <w:tcW w:w="16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65,591,701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179,773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182,255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80" w:type="dxa"/>
            <w:vAlign w:val="bottom"/>
            <w:tcBorders>
              <w:top w:val="single" w:sz="8" w:color="auto"/>
            </w:tcBorders>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 Issued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Original Issue Price</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Liquidation Value</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25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1,401,000</w:t>
            </w:r>
          </w:p>
        </w:tc>
        <w:tc>
          <w:tcPr>
            <w:tcW w:w="1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1,401,000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1.91259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2,694</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4,229,000</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3,321,000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3.73744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14,894</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w:t>
            </w:r>
          </w:p>
        </w:tc>
        <w:tc>
          <w:tcPr>
            <w:tcW w:w="25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1,362,000</w:t>
            </w:r>
          </w:p>
        </w:tc>
        <w:tc>
          <w:tcPr>
            <w:tcW w:w="1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1,362,000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4.20700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5,744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5,127,000</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4,865,000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20,467</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E-1</w:t>
            </w:r>
          </w:p>
        </w:tc>
        <w:tc>
          <w:tcPr>
            <w:tcW w:w="25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6,361,753</w:t>
            </w:r>
          </w:p>
        </w:tc>
        <w:tc>
          <w:tcPr>
            <w:tcW w:w="18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6,361,753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2.03540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15,841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12,949</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Series E-2</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23,994,804</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23,582,102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2.54430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F</w:t>
            </w:r>
          </w:p>
        </w:tc>
        <w:tc>
          <w:tcPr>
            <w:tcW w:w="8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24,698,846</w:t>
            </w:r>
          </w:p>
        </w:tc>
        <w:tc>
          <w:tcPr>
            <w:tcW w:w="1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24,698,846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2.63170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64,947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0"/>
        </w:trPr>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67,174,403</w:t>
            </w:r>
          </w:p>
        </w:tc>
        <w:tc>
          <w:tcPr>
            <w:tcW w:w="18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65,591,701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179,773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182,255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-1782445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-1782445</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-1782445</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-170815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the event dividends are declared by the Board of Directors on the common stock (except dividends on common stock payable in additional shares of common stock), the holders of the Preferred Stock shall be entitled to receive a dividend per share on the Preferred Stock, as applicable, pro rata with the shares of common stock, as if such shares of Preferred Stock had been converted to shares of common stock, assuming for this purpose only that shares of redeemable convertible preferred stock are convertible into</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80"/>
        <w:spacing w:after="0" w:line="261" w:lineRule="auto"/>
        <w:rPr>
          <w:sz w:val="20"/>
          <w:szCs w:val="20"/>
          <w:color w:val="auto"/>
        </w:rPr>
      </w:pPr>
      <w:r>
        <w:rPr>
          <w:rFonts w:ascii="Times New Roman" w:cs="Times New Roman" w:eastAsia="Times New Roman" w:hAnsi="Times New Roman"/>
          <w:sz w:val="18"/>
          <w:szCs w:val="18"/>
          <w:color w:val="auto"/>
        </w:rPr>
        <w:t>fractional shares, at the record date for the determination of stockholders entitled to such dividends. The right to receive dividends on shares of redeemable convertible preferred stock is non-cumulative, and no right to such dividends accrues to holders of redeemable convertible preferred stock by reason of the fact that dividends on such shares are not declared or paid in any years. No dividends have been declared or paid as of March 31, 2026 or December 31, 2025.</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in the event of a deemed liquidation event (as defined below) the holders of Preferred Stock are entitled to liquidation preferences.</w:t>
      </w:r>
    </w:p>
    <w:p>
      <w:pPr>
        <w:spacing w:after="0" w:line="162"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Payment of liquidation preferences rights to preferred stockholders are in the order of: first, the Series F redeemable convertible preferred stock, then the Series E-2 and Series E-1 redeemable convertible preferred stock, then the Series D redeemable convertible preferred stock, then the Series C redeemable convertible preferred stock, then the Series B and A redeemable convertible preferred stock. The liquidation values for the Series F, Series E-2, Series E-1, Series D, and Series C redeemable convertible preferred stock are equivalent to an amount equal to the respective original issue price per share, adjusted for any recapitalization, stock split and the like, plus any dividends declared but unpaid thereon. The liquidation values for the Series B and Series A redeemable convertible preferred stock are equivalent the greater of (i) an amount equal to 1.2 multiplied by the respective original issue price per share, adjusted for any recapitalization, stock split and the like, plus any dividends declared but unpaid thereon, or (ii) such amount per share as would have been payable had all shares of Series B and Series A redeemable convertible preferred stock been converted into common stock immediately prior to such liquidation, dissolution or winding up. The remaining assets, if any, shall be distributed among the holders of the shares of common stock, Series C Preferred Stock, Series D Preferred Stock, Series E-1 Preferred Stock, Series E-2 Preferred Stock, and Series F Preferred Stock, pro rata based on the number of shares held by each such holder, treating for this purpose all such securities as if they had been converted to common stock pursuant to the terms of the Amended and Restated Certificate of Incorporation immediately prior to such liquidation, dissolution or winding up of the Corporation, or deemed liquidation event.</w:t>
      </w:r>
    </w:p>
    <w:p>
      <w:pPr>
        <w:spacing w:after="0" w:line="187"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If upon the liquidation, dissolution, winding up of the Company, or deemed liquidation event, the assets of the Company legally available for distribution to the holders of the Preferred Stock are insufficient to permit the payment to such holders of the full liquidation preferences to which they are entitled, then the holders of the Company’s common stock will receive nothing in respect of their equity holdings in the Company.</w:t>
      </w:r>
    </w:p>
    <w:p>
      <w:pPr>
        <w:spacing w:after="0" w:line="176"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A deemed liquidation event is defined as a merger or consolidation of the Company that results in a change of control, or the sale, lease, transfer, exclusive license, or other disposition of substantially all of the assets of the Company to another entity that is less than a wholly owned subsidiary, unless the holders of at least a majority of the outstanding shares of Preferred Stock, voting together as a single class and on an as converted to common stock basis, and the holders of at least a majority of the outstanding shares of Series F, voting exclusively and as a separate class, elect otherwise by written notice sent to the Company prior to the effective date of any such event.</w:t>
      </w:r>
    </w:p>
    <w:p>
      <w:pPr>
        <w:spacing w:after="0" w:line="183"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Subsequent to March 31, 2026, immediately prior to the completion of the IPO, all the outstanding shares of Preferred Stock converted into an aggregate 18,831,868 shares of common stock and the related liquidation preferences terminated.</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Each share of Preferred Stock is convertible at the option of the holder and at any time into common stock as determined by dividing the applicable original issue price by the applicable Conversion Price. Conversion Price is defined as initially the applicable original issue price for the applicable series of Preferred Stock, subject to certain adjustments in the event of any recapitalizations, stock splits and the like, and for certain subsequent dilutive issuances of common stock or deemed dilutive issuances of common stock, at a price per share less than the then applicable conversion prices of the Preferred Stock. Each share of each series of Preferred Stock converts into shares of common stock on a 1:3.483 basis.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Each share of the Preferred Stock shall automatically be converted into fully paid and nonassessable shares of common stock at the above then-effective respective conversion price upon, (1) the closing of a sale of shares of common stock to the public at a specified price (subject to appropriate adjustment in the event of any stock dividend, stock split, combination or other similar recapitalization with respect to common stock) in a firm-commitment underwritten public offering pursuant to an effective registration statement under the Securities Act of 1933, as amended, resulting in at least $75,000,000 of gross proceeds to the Company, before deductions of underwriting discounts, commissions, and expenses, (2) the date and time, or the occurrence of an event, specified by vote or written consent of (x) the holders of at least a majority of the outstanding shares of Preferred Stock, voting together as a single class and on an as converted to common stock basis, and (y) the holders of at least a majority of the outstanding shares of Series F, voting exclusively and as a separate class, or (3) immediately prior to the closing of the IPO.</w:t>
      </w:r>
    </w:p>
    <w:p>
      <w:pPr>
        <w:spacing w:after="0" w:line="192"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Subsequent to March 31, 2026, immediately prior to the completion of the IPO, all the outstanding shares of Preferred Stock converted into an aggregate 18,831,868 shares of common stock.</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Prior to the completion of the IPO, the holders of each share of Preferred Stock were entitled to one vote for each share of common stock into which such share could be converted on all matters presented to the shareholders for vote.</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w:t>
      </w:r>
    </w:p>
    <w:p>
      <w:pPr>
        <w:spacing w:after="0" w:line="121"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908,000 warrants for Series B redeemable convertible preferred stock (“Series B Preferred Warrants”) outstanding. These warrants were issued during 2012 and 2013 in connection with the issuances of Series B redeemable convertible preferred stock. In addition, as of March 31, 2026 and December 31, 2025, the Company had 258,000 warrants for Series D redeemable convertible preferred stock (“Series D Preferred Warrants”) outstanding, respectively. These warrants were issued in connection with the promissory notes issued in 2017 which were exercised and converted to shares of Series D preferred stock in 2017.</w:t>
      </w:r>
    </w:p>
    <w:p>
      <w:pPr>
        <w:spacing w:after="0" w:line="183"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Subsequent to March 31, 2026, in connection with the IPO, the Company received exercises of the warrants noted above for shares of redeemable convertible preferred stock. Any remaining warrants have expired. As such, subsequent to the completion of the IPO, there remains no outstanding redeemable convertible preferred stock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21"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In March 2025, the Company’s Board of Directors amended and restated the Company’s Certificate of Incorporation to increase the number of authorized shares of common stock to 86,600,000 shares at $0.01 per share. In May 2026, the Company’s Board of Directors amended the Company’s Certificate of Incorporation to increase the number of authorized shares of common stock to 950,000,000 shares at $0.01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On December 15, 2022, the Board of Directors approved the Corporation’s 2022 Equity Incentive Plan (the “2022 Plan”) providing for the grants of non-qualified stock options, incentive stock options and other stock-based awards up to an aggregate of 7,575,181 shares of common stock, $0.01 par value per share. This consisted of the available reserve from the 2007 Equity Incentive Plan (the “2007 Plan”) plus all returned shares. The 2022 Plan serves as the successor to and continuation of the 2007 Plan, and all options that were granted under the 2007 Plan (unless forfeited, exercised or expired) remained outstanding as of December 31, 2022. Awards issued under the 2007 Plan remain subject to the terms of the 2007 Plan, and unissued authorized 2007 shares became available under the 2022 Plan. No issued 2007 Plan awards were converted. The 2007 Plan contained an antidilution provision. Following a 1,000-for-1 common stock split in June 2022, the number of option shares for prior periods was retrospectively adjusted to reflect the split. No other terms of these existing awards were changed except for the number of option shares and the exercise price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620"/>
        <w:spacing w:after="0" w:line="282" w:lineRule="auto"/>
        <w:rPr>
          <w:sz w:val="20"/>
          <w:szCs w:val="20"/>
          <w:color w:val="auto"/>
        </w:rPr>
      </w:pPr>
      <w:r>
        <w:rPr>
          <w:rFonts w:ascii="Times New Roman" w:cs="Times New Roman" w:eastAsia="Times New Roman" w:hAnsi="Times New Roman"/>
          <w:sz w:val="18"/>
          <w:szCs w:val="18"/>
          <w:color w:val="auto"/>
        </w:rPr>
        <w:t>to reflect the stock split. Because the modification did not result in incremental fair value under ASC 718, no additional compensation expense was recognized in 2022.</w:t>
      </w:r>
    </w:p>
    <w:p>
      <w:pPr>
        <w:spacing w:after="0" w:line="16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Under the 2022 Plan, stock options generally vest and become exercisable in respect of 25% of the total number of Shares initially subject to the Options on the first anniversary of the Vesting Commencement Date, and in respect of 1/48th of the total number of Shares initially subject to the Option on each monthly anniversary of the Vesting Commencement Date thereafter, so that 100% of the Shares subject to the Option shall be vested on the fourth anniversary of the Vesting Commencement Date, in each case, subject to the Optionee remaining as a Service Provider (as defined in the Plan) through the applicable vesting date. Certain awards may vest immediately upon grant or may be subject to performance-based vesting conditions, as determined by the Board of Directors. During the year ended 2025, the Company granted two executive awards that include performance-based vesting conditions which are immaterial. The Board of Directors administers the 2022 Plan and determines the exercise prices of options based on the fair value of the Company’s common stock as determined by an independent valuation, in certain instances, options have been granted with an exercise price in excess of fair market value at the date of grant.</w:t>
      </w:r>
    </w:p>
    <w:p>
      <w:pPr>
        <w:spacing w:after="0" w:line="188"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fair market value of stock options was estimated using the Black-Scholes valuation model. Since the Company does not have sufficient trading history of its common stock, it estimates the expected volatility of its stock options at their grant date by taking the weighted average historical volatility of a group of comparable publicly traded companies over a period of time equal to the expected life of the options. The Company uses the simplified method to calculate the expected term and contractual terms. Under the simplified method, the expected life is equal to the average of the share-based award’s weighted average vesting period and its contractual term. The risk-free interest rate is determined by reference to the U.S. Treasury yield curve in effect at the time of grant of the award for time periods approximately equal to the expected term of the award. There were no expected dividends. The following assumptions were used in estimating the fair value of option grants issued:</w:t>
      </w:r>
    </w:p>
    <w:p>
      <w:pPr>
        <w:spacing w:after="0" w:line="18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6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6.0 - 6.1</w:t>
            </w:r>
          </w:p>
        </w:tc>
        <w:tc>
          <w:tcPr>
            <w:tcW w:w="1840" w:type="dxa"/>
            <w:vAlign w:val="bottom"/>
            <w:gridSpan w:val="3"/>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3.3 - 6.1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52.9%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4.2%</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16" w:lineRule="exact"/>
        <w:rPr>
          <w:sz w:val="20"/>
          <w:szCs w:val="20"/>
          <w:color w:val="auto"/>
        </w:rPr>
      </w:pPr>
    </w:p>
    <w:p>
      <w:pPr>
        <w:jc w:val="both"/>
        <w:ind w:right="24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options - </w:t>
      </w:r>
      <w:r>
        <w:rPr>
          <w:rFonts w:ascii="Times New Roman" w:cs="Times New Roman" w:eastAsia="Times New Roman" w:hAnsi="Times New Roman"/>
          <w:sz w:val="18"/>
          <w:szCs w:val="18"/>
          <w:color w:val="auto"/>
        </w:rPr>
        <w:t>A summary of officer, employee, and non-employee options granted and outstanding, under the 2007 and 2022 Plans are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(in thousands, except for share and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500" w:type="dxa"/>
            <w:vAlign w:val="bottom"/>
          </w:tcPr>
          <w:p>
            <w:pPr>
              <w:spacing w:after="0"/>
              <w:rPr>
                <w:sz w:val="15"/>
                <w:szCs w:val="15"/>
                <w:color w:val="auto"/>
              </w:rPr>
            </w:pPr>
          </w:p>
        </w:tc>
        <w:tc>
          <w:tcPr>
            <w:tcW w:w="12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4,046,266</w:t>
            </w: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7.90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524,180</w:t>
            </w:r>
          </w:p>
        </w:tc>
        <w:tc>
          <w:tcPr>
            <w:tcW w:w="9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(119,226)</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 Cancelled, or Expired</w:t>
            </w:r>
          </w:p>
        </w:tc>
        <w:tc>
          <w:tcPr>
            <w:tcW w:w="15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(68,341)</w:t>
            </w:r>
          </w:p>
        </w:tc>
        <w:tc>
          <w:tcPr>
            <w:tcW w:w="9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2026</w:t>
            </w:r>
          </w:p>
        </w:tc>
        <w:tc>
          <w:tcPr>
            <w:tcW w:w="2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4,382,879</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5"/>
              </w:rPr>
              <w:t>7.93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16,783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March 31, 2026</w:t>
            </w:r>
          </w:p>
        </w:tc>
        <w:tc>
          <w:tcPr>
            <w:tcW w:w="2780" w:type="dxa"/>
            <w:vAlign w:val="bottom"/>
            <w:gridSpan w:val="2"/>
            <w:shd w:val="clear" w:color="auto" w:fill="CFF0FC"/>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1,915,208</w:t>
            </w:r>
          </w:p>
        </w:tc>
        <w:tc>
          <w:tcPr>
            <w:tcW w:w="90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1400" w:type="dxa"/>
            <w:vAlign w:val="bottom"/>
            <w:gridSpan w:val="2"/>
            <w:shd w:val="clear" w:color="auto" w:fill="CFF0FC"/>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5"/>
              </w:rPr>
              <w:t>6.46</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729"/>
        </w:trPr>
        <w:tc>
          <w:tcPr>
            <w:tcW w:w="4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-1268095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3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March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2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880" w:type="dxa"/>
            <w:vAlign w:val="bottom"/>
            <w:tcBorders>
              <w:top w:val="single" w:sz="8" w:color="auto"/>
            </w:tcBorders>
            <w:shd w:val="clear" w:color="auto" w:fill="CFF2FC"/>
          </w:tcPr>
          <w:p>
            <w:pPr>
              <w:spacing w:after="0"/>
              <w:rPr>
                <w:sz w:val="20"/>
                <w:szCs w:val="20"/>
                <w:color w:val="auto"/>
              </w:rPr>
            </w:pPr>
            <w:r>
              <w:rPr>
                <w:rFonts w:ascii="Times New Roman" w:cs="Times New Roman" w:eastAsia="Times New Roman" w:hAnsi="Times New Roman"/>
                <w:sz w:val="18"/>
                <w:szCs w:val="18"/>
                <w:color w:val="auto"/>
              </w:rPr>
              <w:t>$1.39</w:t>
            </w:r>
          </w:p>
        </w:tc>
        <w:tc>
          <w:tcPr>
            <w:tcW w:w="3160" w:type="dxa"/>
            <w:vAlign w:val="bottom"/>
            <w:shd w:val="clear" w:color="auto" w:fill="CFF2FC"/>
          </w:tcPr>
          <w:p>
            <w:pPr>
              <w:spacing w:after="0"/>
              <w:rPr>
                <w:sz w:val="18"/>
                <w:szCs w:val="18"/>
                <w:color w:val="auto"/>
              </w:rPr>
            </w:pPr>
          </w:p>
        </w:tc>
        <w:tc>
          <w:tcPr>
            <w:tcW w:w="1200" w:type="dxa"/>
            <w:vAlign w:val="bottom"/>
            <w:tcBorders>
              <w:top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20" w:type="dxa"/>
            <w:vAlign w:val="bottom"/>
            <w:shd w:val="clear" w:color="auto" w:fill="CFF2FC"/>
          </w:tcPr>
          <w:p>
            <w:pPr>
              <w:spacing w:after="0"/>
              <w:rPr>
                <w:sz w:val="18"/>
                <w:szCs w:val="18"/>
                <w:color w:val="auto"/>
              </w:rPr>
            </w:pPr>
          </w:p>
        </w:tc>
        <w:tc>
          <w:tcPr>
            <w:tcW w:w="1420" w:type="dxa"/>
            <w:vAlign w:val="bottom"/>
            <w:tcBorders>
              <w:top w:val="single" w:sz="8" w:color="auto"/>
            </w:tcBorders>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w w:val="98"/>
              </w:rPr>
              <w:t>$1.39</w:t>
            </w:r>
          </w:p>
        </w:tc>
        <w:tc>
          <w:tcPr>
            <w:tcW w:w="120" w:type="dxa"/>
            <w:vAlign w:val="bottom"/>
            <w:shd w:val="clear" w:color="auto" w:fill="CFF2FC"/>
          </w:tcPr>
          <w:p>
            <w:pPr>
              <w:spacing w:after="0"/>
              <w:rPr>
                <w:sz w:val="18"/>
                <w:szCs w:val="18"/>
                <w:color w:val="auto"/>
              </w:rPr>
            </w:pPr>
          </w:p>
        </w:tc>
        <w:tc>
          <w:tcPr>
            <w:tcW w:w="1440" w:type="dxa"/>
            <w:vAlign w:val="bottom"/>
            <w:tcBorders>
              <w:top w:val="single" w:sz="8" w:color="auto"/>
            </w:tcBorders>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FF2FC"/>
          </w:tcPr>
          <w:p>
            <w:pPr>
              <w:spacing w:after="0"/>
              <w:rPr>
                <w:sz w:val="18"/>
                <w:szCs w:val="18"/>
                <w:color w:val="auto"/>
              </w:rPr>
            </w:pPr>
          </w:p>
        </w:tc>
        <w:tc>
          <w:tcPr>
            <w:tcW w:w="1220" w:type="dxa"/>
            <w:vAlign w:val="bottom"/>
            <w:tcBorders>
              <w:top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20" w:type="dxa"/>
            <w:vAlign w:val="bottom"/>
            <w:shd w:val="clear" w:color="auto" w:fill="CFF2FC"/>
          </w:tcPr>
          <w:p>
            <w:pPr>
              <w:spacing w:after="0"/>
              <w:rPr>
                <w:sz w:val="18"/>
                <w:szCs w:val="18"/>
                <w:color w:val="auto"/>
              </w:rPr>
            </w:pPr>
          </w:p>
        </w:tc>
        <w:tc>
          <w:tcPr>
            <w:tcW w:w="1440" w:type="dxa"/>
            <w:vAlign w:val="bottom"/>
            <w:tcBorders>
              <w:top w:val="single" w:sz="8" w:color="auto"/>
            </w:tcBorders>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$1.45</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$1.45</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8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$2.66</w:t>
            </w:r>
          </w:p>
        </w:tc>
        <w:tc>
          <w:tcPr>
            <w:tcW w:w="3160" w:type="dxa"/>
            <w:vAlign w:val="bottom"/>
            <w:shd w:val="clear" w:color="auto" w:fill="CFF2FC"/>
          </w:tcPr>
          <w:p>
            <w:pPr>
              <w:spacing w:after="0"/>
              <w:rPr>
                <w:sz w:val="18"/>
                <w:szCs w:val="18"/>
                <w:color w:val="auto"/>
              </w:rPr>
            </w:pPr>
          </w:p>
        </w:tc>
        <w:tc>
          <w:tcPr>
            <w:tcW w:w="12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61,728</w:t>
            </w:r>
          </w:p>
        </w:tc>
        <w:tc>
          <w:tcPr>
            <w:tcW w:w="154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w w:val="98"/>
              </w:rPr>
              <w:t>$2.66</w:t>
            </w:r>
          </w:p>
        </w:tc>
        <w:tc>
          <w:tcPr>
            <w:tcW w:w="120" w:type="dxa"/>
            <w:vAlign w:val="bottom"/>
            <w:shd w:val="clear" w:color="auto" w:fill="CFF2FC"/>
          </w:tcPr>
          <w:p>
            <w:pPr>
              <w:spacing w:after="0"/>
              <w:rPr>
                <w:sz w:val="18"/>
                <w:szCs w:val="18"/>
                <w:color w:val="auto"/>
              </w:rPr>
            </w:pPr>
          </w:p>
        </w:tc>
        <w:tc>
          <w:tcPr>
            <w:tcW w:w="1440" w:type="dxa"/>
            <w:vAlign w:val="bottom"/>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4.44</w:t>
            </w:r>
          </w:p>
        </w:tc>
        <w:tc>
          <w:tcPr>
            <w:tcW w:w="13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61,728</w:t>
            </w:r>
          </w:p>
        </w:tc>
        <w:tc>
          <w:tcPr>
            <w:tcW w:w="156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$2.79</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$2.79</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88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$2.88</w:t>
            </w:r>
          </w:p>
        </w:tc>
        <w:tc>
          <w:tcPr>
            <w:tcW w:w="3160" w:type="dxa"/>
            <w:vAlign w:val="bottom"/>
            <w:shd w:val="clear" w:color="auto" w:fill="CFF2FC"/>
          </w:tcPr>
          <w:p>
            <w:pPr>
              <w:spacing w:after="0"/>
              <w:rPr>
                <w:sz w:val="18"/>
                <w:szCs w:val="18"/>
                <w:color w:val="auto"/>
              </w:rPr>
            </w:pPr>
          </w:p>
        </w:tc>
        <w:tc>
          <w:tcPr>
            <w:tcW w:w="12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154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w w:val="98"/>
              </w:rPr>
              <w:t>$2.88</w:t>
            </w:r>
          </w:p>
        </w:tc>
        <w:tc>
          <w:tcPr>
            <w:tcW w:w="120" w:type="dxa"/>
            <w:vAlign w:val="bottom"/>
            <w:shd w:val="clear" w:color="auto" w:fill="CFF2FC"/>
          </w:tcPr>
          <w:p>
            <w:pPr>
              <w:spacing w:after="0"/>
              <w:rPr>
                <w:sz w:val="18"/>
                <w:szCs w:val="18"/>
                <w:color w:val="auto"/>
              </w:rPr>
            </w:pPr>
          </w:p>
        </w:tc>
        <w:tc>
          <w:tcPr>
            <w:tcW w:w="1440" w:type="dxa"/>
            <w:vAlign w:val="bottom"/>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3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156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$3.24</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264,009</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$3.24</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123,154</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88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$3.38</w:t>
            </w:r>
          </w:p>
        </w:tc>
        <w:tc>
          <w:tcPr>
            <w:tcW w:w="3160" w:type="dxa"/>
            <w:vAlign w:val="bottom"/>
            <w:shd w:val="clear" w:color="auto" w:fill="CFF2FC"/>
          </w:tcPr>
          <w:p>
            <w:pPr>
              <w:spacing w:after="0"/>
              <w:rPr>
                <w:sz w:val="18"/>
                <w:szCs w:val="18"/>
                <w:color w:val="auto"/>
              </w:rPr>
            </w:pPr>
          </w:p>
        </w:tc>
        <w:tc>
          <w:tcPr>
            <w:tcW w:w="12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1,207,080</w:t>
            </w:r>
          </w:p>
        </w:tc>
        <w:tc>
          <w:tcPr>
            <w:tcW w:w="154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w w:val="98"/>
              </w:rPr>
              <w:t>$3.38</w:t>
            </w:r>
          </w:p>
        </w:tc>
        <w:tc>
          <w:tcPr>
            <w:tcW w:w="120" w:type="dxa"/>
            <w:vAlign w:val="bottom"/>
            <w:shd w:val="clear" w:color="auto" w:fill="CFF2FC"/>
          </w:tcPr>
          <w:p>
            <w:pPr>
              <w:spacing w:after="0"/>
              <w:rPr>
                <w:sz w:val="18"/>
                <w:szCs w:val="18"/>
                <w:color w:val="auto"/>
              </w:rPr>
            </w:pPr>
          </w:p>
        </w:tc>
        <w:tc>
          <w:tcPr>
            <w:tcW w:w="1440" w:type="dxa"/>
            <w:vAlign w:val="bottom"/>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6.78</w:t>
            </w:r>
          </w:p>
        </w:tc>
        <w:tc>
          <w:tcPr>
            <w:tcW w:w="13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1,094,091</w:t>
            </w:r>
          </w:p>
        </w:tc>
        <w:tc>
          <w:tcPr>
            <w:tcW w:w="156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$3.41</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$3.41</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88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$3.73</w:t>
            </w:r>
          </w:p>
        </w:tc>
        <w:tc>
          <w:tcPr>
            <w:tcW w:w="3160" w:type="dxa"/>
            <w:vAlign w:val="bottom"/>
            <w:shd w:val="clear" w:color="auto" w:fill="CFF2FC"/>
          </w:tcPr>
          <w:p>
            <w:pPr>
              <w:spacing w:after="0"/>
              <w:rPr>
                <w:sz w:val="18"/>
                <w:szCs w:val="18"/>
                <w:color w:val="auto"/>
              </w:rPr>
            </w:pPr>
          </w:p>
        </w:tc>
        <w:tc>
          <w:tcPr>
            <w:tcW w:w="12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1,510,824</w:t>
            </w:r>
          </w:p>
        </w:tc>
        <w:tc>
          <w:tcPr>
            <w:tcW w:w="154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w w:val="98"/>
              </w:rPr>
              <w:t>$3.73</w:t>
            </w:r>
          </w:p>
        </w:tc>
        <w:tc>
          <w:tcPr>
            <w:tcW w:w="120" w:type="dxa"/>
            <w:vAlign w:val="bottom"/>
            <w:shd w:val="clear" w:color="auto" w:fill="CFF2FC"/>
          </w:tcPr>
          <w:p>
            <w:pPr>
              <w:spacing w:after="0"/>
              <w:rPr>
                <w:sz w:val="18"/>
                <w:szCs w:val="18"/>
                <w:color w:val="auto"/>
              </w:rPr>
            </w:pPr>
          </w:p>
        </w:tc>
        <w:tc>
          <w:tcPr>
            <w:tcW w:w="1440" w:type="dxa"/>
            <w:vAlign w:val="bottom"/>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426,872</w:t>
            </w:r>
          </w:p>
        </w:tc>
        <w:tc>
          <w:tcPr>
            <w:tcW w:w="156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$3.94</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525,228</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$3.94</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88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$4.11</w:t>
            </w:r>
          </w:p>
        </w:tc>
        <w:tc>
          <w:tcPr>
            <w:tcW w:w="3160" w:type="dxa"/>
            <w:vAlign w:val="bottom"/>
            <w:shd w:val="clear" w:color="auto" w:fill="CFF2FC"/>
          </w:tcPr>
          <w:p>
            <w:pPr>
              <w:spacing w:after="0"/>
              <w:rPr>
                <w:sz w:val="18"/>
                <w:szCs w:val="18"/>
                <w:color w:val="auto"/>
              </w:rPr>
            </w:pPr>
          </w:p>
        </w:tc>
        <w:tc>
          <w:tcPr>
            <w:tcW w:w="12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99,606</w:t>
            </w:r>
          </w:p>
        </w:tc>
        <w:tc>
          <w:tcPr>
            <w:tcW w:w="154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w w:val="98"/>
              </w:rPr>
              <w:t>$4.11</w:t>
            </w:r>
          </w:p>
        </w:tc>
        <w:tc>
          <w:tcPr>
            <w:tcW w:w="120" w:type="dxa"/>
            <w:vAlign w:val="bottom"/>
            <w:shd w:val="clear" w:color="auto" w:fill="CFF2FC"/>
          </w:tcPr>
          <w:p>
            <w:pPr>
              <w:spacing w:after="0"/>
              <w:rPr>
                <w:sz w:val="18"/>
                <w:szCs w:val="18"/>
                <w:color w:val="auto"/>
              </w:rPr>
            </w:pPr>
          </w:p>
        </w:tc>
        <w:tc>
          <w:tcPr>
            <w:tcW w:w="1440" w:type="dxa"/>
            <w:vAlign w:val="bottom"/>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3.99</w:t>
            </w:r>
          </w:p>
        </w:tc>
        <w:tc>
          <w:tcPr>
            <w:tcW w:w="13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560" w:type="dxa"/>
            <w:vAlign w:val="bottom"/>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$7.91</w:t>
            </w:r>
          </w:p>
        </w:tc>
        <w:tc>
          <w:tcPr>
            <w:tcW w:w="3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524,199</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$7.91</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2FC"/>
            </w:tcBorders>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$1.39 — $7.91</w:t>
            </w:r>
          </w:p>
        </w:tc>
        <w:tc>
          <w:tcPr>
            <w:tcW w:w="12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4,382,879</w:t>
            </w:r>
          </w:p>
        </w:tc>
        <w:tc>
          <w:tcPr>
            <w:tcW w:w="1540" w:type="dxa"/>
            <w:vAlign w:val="bottom"/>
            <w:tcBorders>
              <w:bottom w:val="single" w:sz="8" w:color="CFF2FC"/>
            </w:tcBorders>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w w:val="98"/>
              </w:rPr>
              <w:t>$4.08</w:t>
            </w:r>
          </w:p>
        </w:tc>
        <w:tc>
          <w:tcPr>
            <w:tcW w:w="120" w:type="dxa"/>
            <w:vAlign w:val="bottom"/>
            <w:tcBorders>
              <w:bottom w:val="single" w:sz="8" w:color="CFF2FC"/>
            </w:tcBorders>
            <w:shd w:val="clear" w:color="auto" w:fill="CFF2FC"/>
          </w:tcPr>
          <w:p>
            <w:pPr>
              <w:spacing w:after="0"/>
              <w:rPr>
                <w:sz w:val="21"/>
                <w:szCs w:val="21"/>
                <w:color w:val="auto"/>
              </w:rPr>
            </w:pPr>
          </w:p>
        </w:tc>
        <w:tc>
          <w:tcPr>
            <w:tcW w:w="1440" w:type="dxa"/>
            <w:vAlign w:val="bottom"/>
            <w:tcBorders>
              <w:bottom w:val="single" w:sz="8" w:color="CFF2FC"/>
            </w:tcBorders>
            <w:shd w:val="clear" w:color="auto" w:fill="CFF2FC"/>
          </w:tcPr>
          <w:p>
            <w:pPr>
              <w:jc w:val="center"/>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Borders>
              <w:bottom w:val="single" w:sz="8" w:color="CFF2FC"/>
            </w:tcBorders>
            <w:shd w:val="clear" w:color="auto" w:fill="CFF2FC"/>
          </w:tcPr>
          <w:p>
            <w:pPr>
              <w:spacing w:after="0"/>
              <w:rPr>
                <w:sz w:val="21"/>
                <w:szCs w:val="21"/>
                <w:color w:val="auto"/>
              </w:rPr>
            </w:pPr>
          </w:p>
        </w:tc>
        <w:tc>
          <w:tcPr>
            <w:tcW w:w="12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1,915,208</w:t>
            </w:r>
          </w:p>
        </w:tc>
        <w:tc>
          <w:tcPr>
            <w:tcW w:w="1560" w:type="dxa"/>
            <w:vAlign w:val="bottom"/>
            <w:tcBorders>
              <w:bottom w:val="single" w:sz="8" w:color="CFF2FC"/>
            </w:tcBorders>
            <w:gridSpan w:val="2"/>
            <w:shd w:val="clear" w:color="auto" w:fill="CFF2FC"/>
          </w:tcPr>
          <w:p>
            <w:pPr>
              <w:jc w:val="center"/>
              <w:ind w:left="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80" w:firstLine="374"/>
        <w:spacing w:after="0" w:line="273" w:lineRule="auto"/>
        <w:rPr>
          <w:sz w:val="20"/>
          <w:szCs w:val="20"/>
          <w:color w:val="auto"/>
        </w:rPr>
      </w:pPr>
      <w:r>
        <w:rPr>
          <w:rFonts w:ascii="Times New Roman" w:cs="Times New Roman" w:eastAsia="Times New Roman" w:hAnsi="Times New Roman"/>
          <w:sz w:val="17"/>
          <w:szCs w:val="17"/>
          <w:color w:val="auto"/>
        </w:rPr>
        <w:t>The aggregate intrinsic value is calculated as the difference between the exercise price of the underlying stock options and the fair value of the Company’s common stock for stock options that were in-the-money at period end. The aggregate intrinsic value of all options exercised for the three months ended March 31, 2026 and 2025 was $0.5 million and $34,000, respectively. The total fair value of options vested for the three months ended March 31, 2026 and 2025 was $0.5 million and $0.2 million, respectively. The options granted for the three months ended March 31, 2026 and 2025 had a weighted average grant date fair value of $5.71 per share and $1.95 per share, respectively. The options forfeited during the three months ended March 31, 2026 and 2025 had a weighted average grant date fair value of $1.95 per share and $1.74 per share, respectively. The total compensation cost related to non-vested stock options to be recognized in the future as of March 31, 2026, was $6.5 million over a weighted-average period of approximately 3.1 years.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share-based compensation expense by line items in the statements of operations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173"/>
        </w:trPr>
        <w:tc>
          <w:tcPr>
            <w:tcW w:w="5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420" w:type="dxa"/>
            <w:vAlign w:val="bottom"/>
            <w:shd w:val="clear" w:color="auto" w:fill="CFF0FC"/>
          </w:tcPr>
          <w:p>
            <w:pPr>
              <w:jc w:val="right"/>
              <w:ind w:right="2970"/>
              <w:spacing w:after="0"/>
              <w:rPr>
                <w:sz w:val="20"/>
                <w:szCs w:val="20"/>
                <w:color w:val="auto"/>
              </w:rPr>
            </w:pPr>
            <w:r>
              <w:rPr>
                <w:rFonts w:ascii="Times New Roman" w:cs="Times New Roman" w:eastAsia="Times New Roman" w:hAnsi="Times New Roman"/>
                <w:sz w:val="18"/>
                <w:szCs w:val="18"/>
                <w:color w:val="auto"/>
                <w:w w:val="99"/>
              </w:rPr>
              <w:t>Research and development costs</w:t>
            </w:r>
          </w:p>
        </w:tc>
        <w:tc>
          <w:tcPr>
            <w:tcW w:w="33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w w:val="99"/>
              </w:rPr>
              <w:t>Sales, general and administrative expenses</w:t>
            </w:r>
          </w:p>
        </w:tc>
        <w:tc>
          <w:tcPr>
            <w:tcW w:w="2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5420" w:type="dxa"/>
            <w:vAlign w:val="bottom"/>
            <w:shd w:val="clear" w:color="auto" w:fill="CFF0FC"/>
          </w:tcPr>
          <w:p>
            <w:pPr>
              <w:jc w:val="right"/>
              <w:ind w:right="2250"/>
              <w:spacing w:after="0"/>
              <w:rPr>
                <w:sz w:val="20"/>
                <w:szCs w:val="20"/>
                <w:color w:val="auto"/>
              </w:rPr>
            </w:pPr>
            <w:r>
              <w:rPr>
                <w:rFonts w:ascii="Times New Roman" w:cs="Times New Roman" w:eastAsia="Times New Roman" w:hAnsi="Times New Roman"/>
                <w:sz w:val="18"/>
                <w:szCs w:val="18"/>
                <w:color w:val="auto"/>
              </w:rPr>
              <w:t>Total share based compensation expense</w:t>
            </w:r>
          </w:p>
        </w:tc>
        <w:tc>
          <w:tcPr>
            <w:tcW w:w="2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407</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Share</w:t>
      </w:r>
    </w:p>
    <w:p>
      <w:pPr>
        <w:spacing w:after="0" w:line="121"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Net loss per share is calculated by dividing net loss attributable to common stockholders by the weighted-average number of shares of common stock outstanding during the period. Diluted earnings per share is calculated similarly but includes potential dilution from the exercise of stock options and stock awards and conversion of redeemable convertible preferred stock, except when the effect would be anti-dilutive.</w:t>
      </w:r>
    </w:p>
    <w:p>
      <w:pPr>
        <w:spacing w:after="0" w:line="176"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numerators and denominators of the basic and diluted net loss per share computations for the periods presented (in thousands, except for share and per share amounts):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0" w:type="dxa"/>
            <w:vAlign w:val="bottom"/>
          </w:tcPr>
          <w:p>
            <w:pPr>
              <w:spacing w:after="0"/>
              <w:rPr>
                <w:sz w:val="1"/>
                <w:szCs w:val="1"/>
                <w:color w:val="auto"/>
              </w:rPr>
            </w:pPr>
          </w:p>
        </w:tc>
      </w:tr>
      <w:tr>
        <w:trPr>
          <w:trHeight w:val="196"/>
        </w:trPr>
        <w:tc>
          <w:tcPr>
            <w:tcW w:w="75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(denominator):</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used in basic computation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99"/>
              </w:rPr>
              <w:t>918,935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821,160</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shares issuable upon the exercise of stock options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shares issuable upon conversion of redeemable convertible preferred stock and warrants on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used in diluted computation</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99"/>
              </w:rPr>
              <w:t>918,935</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821,160</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common share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-1542415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-1525270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-556260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 converted securities that were excluded from the diluted per share calculation because the effect of including these potential shares was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2440" w:type="dxa"/>
            <w:vAlign w:val="bottom"/>
            <w:gridSpan w:val="3"/>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r>
      <w:tr>
        <w:trPr>
          <w:trHeight w:val="173"/>
        </w:trPr>
        <w:tc>
          <w:tcPr>
            <w:tcW w:w="7680" w:type="dxa"/>
            <w:vAlign w:val="bottom"/>
          </w:tcPr>
          <w:p>
            <w:pPr>
              <w:spacing w:after="0"/>
              <w:rPr>
                <w:sz w:val="15"/>
                <w:szCs w:val="15"/>
                <w:color w:val="auto"/>
              </w:rPr>
            </w:pPr>
          </w:p>
        </w:tc>
        <w:tc>
          <w:tcPr>
            <w:tcW w:w="2440" w:type="dxa"/>
            <w:vAlign w:val="bottom"/>
            <w:tcBorders>
              <w:bottom w:val="single" w:sz="8" w:color="auto"/>
            </w:tcBorders>
            <w:gridSpan w:val="3"/>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72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402,239</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402,239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953,488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953,488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391,042</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391,042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1,396,784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1,396,784</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convertible preferred stock</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8,597,145</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8,597,145</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F redeemable convertible preferred stock</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7,091,256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3,545,628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on redeemable convertible preferred stock</w:t>
            </w: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364,390</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364,390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3,333,324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shares issuable upon the exercise of stock options</w:t>
            </w: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4,382,879</w:t>
            </w: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3,196,660</w:t>
            </w: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26,912,547</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18,847,376</w:t>
            </w: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IPO, on May 1, 2026, the Company effected a 1-for-3.483 reverse stock split. All share and per share amounts for all periods presented have been retroactively adjusted to reflect this reverse stock split.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21"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a party to claims, legal actions, and complaints arising in the ordinary course of business. Management is not aware of any such matters which would have a material effect on its financial positions, results of operations, or cash flows. The Company relies on third-party manufacturers for the production of its IPGs and stimulation leads. Certain of these arrangements include non-cancelable purchase commitments and binding forecast obligations. The Company issues purchase orders based on production requirements, which are generally non-cancelable once accepted by the supplier. As of March 31, 2026, the Company had outstanding non-cancelable purchase orders totaling approximately $11.6 million, which are expected to be fulfilled in the next twelve months. As of December 31, 2025, the Company had outstanding non-cancelable purchase orders totaling approximately $7.1 million, which are expected to be fulfilled during 2026.</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During September 2024, the Company entered into an updated IPG supply agreement that expanded the scope of its supply arrangements with the third-party manufacturer. The agreement includes minimum annual purchase commitments over a five-year period commencing upon the first commercial shipment of product under the agreement. The first commercial shipment is currently expected to occur in 2028. The agreement also requires the Company to provide rolling twelve-month forecasts, portions of which</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5" w:name="page26"/>
    <w:bookmarkEnd w:id="25"/>
    <w:p>
      <w:pPr>
        <w:ind w:right="600"/>
        <w:spacing w:after="0" w:line="282" w:lineRule="auto"/>
        <w:rPr>
          <w:sz w:val="20"/>
          <w:szCs w:val="20"/>
          <w:color w:val="auto"/>
        </w:rPr>
      </w:pPr>
      <w:r>
        <w:rPr>
          <w:rFonts w:ascii="Times New Roman" w:cs="Times New Roman" w:eastAsia="Times New Roman" w:hAnsi="Times New Roman"/>
          <w:sz w:val="18"/>
          <w:szCs w:val="18"/>
          <w:color w:val="auto"/>
        </w:rPr>
        <w:t>may become binding. As of March 31, 2026, no binding forecast commitments had been established under this agreement. The aggregate minimum purchase obligation over the five-year commitment period totals approximately $5.8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12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Company’s measure of segment profit or loss is net loss, which is used by the CODM to measure actual results versus expectations, set performance metrics, and during the Company’s budgeting and forecasting process to assess profitability and enable decision making. Significant segment expenses within net loss include cost of goods sold, research and development, and selling, general and administrative expenses. The only segment asset regularly reviewed by the CODM is cash and cash equivalents, which is reported on the balance sheets. No sales to an individual customer accounted for more than 10% of the Company’s total revenue for the three months ended March 31, 2026 and March 31, 2025, respectively.</w:t>
      </w:r>
    </w:p>
    <w:p>
      <w:pPr>
        <w:spacing w:after="0" w:line="183" w:lineRule="exact"/>
        <w:rPr>
          <w:sz w:val="20"/>
          <w:szCs w:val="20"/>
          <w:color w:val="auto"/>
        </w:rPr>
      </w:pPr>
    </w:p>
    <w:p>
      <w:pPr>
        <w:ind w:right="54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revenue and significant segment expense categories regularly provided to the CODM for purposes of managing the Company’s single operating and reportable segment. Segment revenue and net loss are consistent with the statements of operations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173"/>
        </w:trPr>
        <w:tc>
          <w:tcPr>
            <w:tcW w:w="15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r>
      <w:tr>
        <w:trPr>
          <w:trHeight w:val="142"/>
        </w:trPr>
        <w:tc>
          <w:tcPr>
            <w:tcW w:w="15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12,074</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5,661</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2,133</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5640" w:type="dxa"/>
            <w:vAlign w:val="bottom"/>
            <w:gridSpan w:val="2"/>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4"/>
                <w:szCs w:val="24"/>
                <w:color w:val="auto"/>
                <w:vertAlign w:val="superscript"/>
              </w:rPr>
              <w:t>(1)</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25,186</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13,596</w:t>
            </w:r>
          </w:p>
        </w:tc>
      </w:tr>
      <w:tr>
        <w:trPr>
          <w:trHeight w:val="216"/>
        </w:trPr>
        <w:tc>
          <w:tcPr>
            <w:tcW w:w="56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(2)</w:t>
            </w:r>
          </w:p>
        </w:tc>
        <w:tc>
          <w:tcPr>
            <w:tcW w:w="2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349</w:t>
            </w:r>
          </w:p>
        </w:tc>
      </w:tr>
      <w:tr>
        <w:trPr>
          <w:trHeight w:val="249"/>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w:t>
            </w: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4140" w:type="dxa"/>
            <w:vAlign w:val="bottom"/>
            <w:tcBorders>
              <w:top w:val="single" w:sz="8" w:color="CFF0FC"/>
            </w:tcBorders>
          </w:tcPr>
          <w:p>
            <w:pPr>
              <w:spacing w:after="0"/>
              <w:rPr>
                <w:sz w:val="10"/>
                <w:szCs w:val="10"/>
                <w:color w:val="auto"/>
              </w:rPr>
            </w:pPr>
          </w:p>
        </w:tc>
        <w:tc>
          <w:tcPr>
            <w:tcW w:w="210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-119380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 w:lineRule="exact"/>
        <w:rPr>
          <w:sz w:val="20"/>
          <w:szCs w:val="20"/>
          <w:color w:val="auto"/>
        </w:rPr>
      </w:pPr>
    </w:p>
    <w:p>
      <w:pPr>
        <w:ind w:left="380" w:right="220" w:hanging="372"/>
        <w:spacing w:after="0" w:line="269"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Selling, general and administrative expenses include depreciation and amortization expense of $0.1 million and $31,000 for the three months ended March 31, 2026 and 2025, respectively.</w:t>
      </w:r>
    </w:p>
    <w:p>
      <w:pPr>
        <w:ind w:left="380" w:right="100" w:hanging="372"/>
        <w:spacing w:after="0" w:line="288"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Other segment items are comprised of change in fair value of convertible notes payable, interest expense, other income, net, and provision for income taxes, as shown on the statements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21" w:lineRule="exact"/>
        <w:rPr>
          <w:sz w:val="20"/>
          <w:szCs w:val="20"/>
          <w:color w:val="auto"/>
        </w:rPr>
      </w:pPr>
    </w:p>
    <w:p>
      <w:pPr>
        <w:ind w:right="180" w:firstLine="374"/>
        <w:spacing w:after="0" w:line="274" w:lineRule="auto"/>
        <w:rPr>
          <w:sz w:val="20"/>
          <w:szCs w:val="20"/>
          <w:color w:val="auto"/>
        </w:rPr>
      </w:pPr>
      <w:r>
        <w:rPr>
          <w:rFonts w:ascii="Times New Roman" w:cs="Times New Roman" w:eastAsia="Times New Roman" w:hAnsi="Times New Roman"/>
          <w:sz w:val="17"/>
          <w:szCs w:val="17"/>
          <w:color w:val="auto"/>
        </w:rPr>
        <w:t>In April 2026, the Board of Directors approved the Company’s 2026 Incentive Award Plan (the “2026 Plan”) and 2026 Employee Stock Purchase Plan (the “2026 ESPP”). The stockholders of the Company approved the 2026 Plan and the 2026 ESPP in May 2026. Both plans became effective in connection with the IPO. The 2026 Plan provides for the grant of equity-based awards and authorizes an initial share reserve based on a percentage of the Company’s fully diluted capitalization at the pricing date, as well as annual increases in the number of shares available for issuance thereunder. The 2026 ESPP provides eligible employees with the opportunity to purchase shares of the Company’s common stock and includes an initial share reserve and annual increases based on a percentage of outstanding shares. No awards have been granted under the 2026 Plan or the 2026 ESPP as of March 31, 2026.</w:t>
      </w:r>
    </w:p>
    <w:p>
      <w:pPr>
        <w:spacing w:after="0" w:line="17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On May 11, 2026, the Company completed its IPO, in which it sold 10,000,000 shares of its common stock at a public offering price of $15.00 per share, for net proceeds of approximately $134.5 million, after deducting underwriters’ discounts and commissions and estimated offering costs paid by the Company. In addition, immediately prior to the completion of the IPO, all the outstanding shares of the Company’s redeemable convertible preferred stock were converted into an aggregate of 18,831,868 shares of common stock and the Company’s convertible promissory notes issued during the three months ended March 31, 2026 were converted into an aggregate of 3,333,324 shares of common stock.</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our financial condition and results of operations in conjunction with our condensed unaudited interim financial statements (the condensed financial statements) and notes thereto included in Part I, Item 1 of this Quarterly Report on Form 10-Q and with our audited financial statements and notes thereto for the year ended December 31, 2025, included in our prospectus dated May 7, 2026, filed with the U.S. Securities and Exchange Commission (SEC) pursuant to Rule 424(b)(4) under the Securities Act of 1933, as amended (the “Prospectus”) on May 8,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are a commercial-stage medical device company redefining stroke recovery for survivors living with life-altering motor impairments. Our Vivistim Paired Vagus Nerve Stimulation (Paired VNS) System is the first and only clinically-validated, FDA-approved solution for chronic ischemic stroke survivors with moderate to severe upper extremity impairments. Stroke is one of the leading causes of long-term disability in the United States. While advancements in acute stroke care over the past decade have significantly reduced mortality, innovation for chronic stroke recovery has lagged, resulting in a growing number of stroke survivors living with meaningful impairments. Our breakthrough Vivistim Paired VNS System (Vivistim System) addresses this unmet need. The Vivistim System includes an implanted pulse generator and lead that deliver stimulation to the vagus nerve when activated. During treatment (Vivistim Therapy), intentional bursts of stimulation are delivered during functional movement to increase neuroplasticity and durably restore motor function. Clinical data has demonstrated that Vivistim Therapy delivers meaningful improvements in upper limb function, which can help stroke survivors regain critical capabilities and independence and restore quality of life, regardless of the time elapsed since the patient’s stroke. We believe we are setting a new standard of care in chronic stroke recovery, facilitating a new treatment pathway for chronic ischemic stroke survivors with moderate to severe upper extremity impairments. We have experienced rapid growth since our full commercial launch in 2023, and as of December 31, 2025, physicians have performed over 1,000 implants, including approximately 700 in 2025.</w:t>
      </w:r>
    </w:p>
    <w:p>
      <w:pPr>
        <w:spacing w:after="0" w:line="19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Chronic stroke recovery presents a significant market opportunity. According to the American Heart Association (AHA), approximately 87% of the strokes in the United States are ischemic. This equates to approximately 9 million ischemic stroke survivors in the United States, of which we estimate that more than 4 million are chronic ischemic stroke survivors living with moderate to severe upper extremity impairment. This population falls within the current on-label indication for the Vivistim System. We believe that an initial market opportunity comprises approximately 1 million of those survivors that demonstrate the requisite overall health, cognition and motivation to participate in therapy and have received some amount of post-stroke therapy, which we estimate represents an initial market opportunity of over $30 billion based on the average selling price of the Vivistim System. Vivistim Therapy is effective for recent stroke survivors as well as patients who initiate treatment many years post-stroke. Based on a report published by the AHA in 2025, we estimate that each year approximately 200,000 new stroke survivors in the United States meet our indication for use, with 50,000 of these survivors representative of our initial market opportunity.</w:t>
      </w:r>
    </w:p>
    <w:p>
      <w:pPr>
        <w:spacing w:after="0" w:line="188"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Our commercial strategy is designed to encourage Vivistim Therapy adoption at stroke centers and therapy sites through a coordinated, evidence-based approach. We sell the Vivistim System to customers, primarily stroke hospitals, in the United States, and our commercial organization is responsible for driving adoption of the Vivistim System through customer outreach, education, and relationship management activities. Our team includes Territory Managers (TMs), who support initial customer onboarding efforts at stroke centers and maintain commercial relationships with physicians and administrators, and Therapy Development Specialists (TDSs), who focus on outreach to therapy sites and provide general educational information regarding the clinical use of the Vivistim System. These activities are intended to facilitate customer adoption and utilization of the Vivistim System. Our commercial efforts are currently focused on primary and comprehensive stroke centers, which are hospitals that have cross-functional teams with the capabilities to treat acute stroke at the highest level of care and in compliance with AHA guidelines. These centers see significant volumes of acute stroke patients and are typically surrounded by a network of therapy sites with neurorehabilitation capabilities, providing the infrastructure necessary for efficient implementation of Vivistim Therapy. We work with these stroke centers to establish Vivistim Therapy as a treatment option for stroke survivors. Over time, we believe these centers will naturally integrate Vivistim Therapy into standard care pathways for stroke survivors upon discharge and establish self-sustaining care programs that use Vivistim Therapy. According to data from the stroke center accreditation organizations, there were approximately 1,500 primary and</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comprehensive stroke centers in the United States as of December 2025. In addition, according to stroke claims data, approximately 70% of acute strokes in the United States are seen at 900 hospitals.</w:t>
      </w:r>
    </w:p>
    <w:p>
      <w:pPr>
        <w:spacing w:after="0" w:line="162"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the Vivistim System and accessories. We believe this strategy provides the expertise and capacity required to effectively and efficiently scale production based on demand, and helps to reduce our need for capital investment and reduce operational expenses.</w:t>
      </w:r>
    </w:p>
    <w:p>
      <w:pPr>
        <w:spacing w:after="0" w:line="176"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of preferred stock, debt financing arrangements, revenue from sales of our Vivistim System and, subsequent to March 31, 2026, net proceeds from our initial public offering in May 2026 (the “IPO”). For the three months ended March 31, 2026, we generated revenue of $12.1 million, with a gross margin of 82.3%, and had a net loss of $17.7 million, compared to revenue of $5.7 million, with a gross margin of 82.1%, and a net loss of $10.7 million for the three months ended March 31, 2025. As of March 31, 2026, we had cash and cash equivalents of $55.7 million and an accumulated deficit of approximately $175.5 million. In May 2026, we completed our IPO and received net proceeds of approximately $134.5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our performance, results of operations and future success depend on several factors, including:</w:t>
      </w:r>
    </w:p>
    <w:p>
      <w:pPr>
        <w:spacing w:after="0" w:line="113" w:lineRule="exact"/>
        <w:rPr>
          <w:sz w:val="20"/>
          <w:szCs w:val="20"/>
          <w:color w:val="auto"/>
        </w:rPr>
      </w:pPr>
    </w:p>
    <w:p>
      <w:pPr>
        <w:ind w:left="760" w:hanging="378"/>
        <w:spacing w:after="0" w:line="25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development and awareness of Vivistim Therapy. </w:t>
      </w:r>
      <w:r>
        <w:rPr>
          <w:rFonts w:ascii="Times New Roman" w:cs="Times New Roman" w:eastAsia="Times New Roman" w:hAnsi="Times New Roman"/>
          <w:sz w:val="18"/>
          <w:szCs w:val="18"/>
          <w:color w:val="auto"/>
        </w:rPr>
        <w:t>Our mission is to redefine stroke recovery for survivors living with life-altering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impairments by establishing Vivistim Therapy as the standard of care for chronic stroke recovery. As there are currently very limited options to support chronic stroke recovery, we are focused on developing this new market and driving awareness of Vivistim Therapy as a potential treatment option for stroke survivors. To accomplish this, we intend to continue to educate healthcare providers on the capabilities and benefits of Vivistim Therapy, work closely with hospitals to incorporate Vivistim Therapy as a treatment option, and activate care programs that use Vivistim Therapy at stroke centers and therapy sites. In addition, we intend to continue to expand our clinical evidence to support a robust cadence of publications regarding the benefits of Vivistim Therapy. We believe these efforts will support the growth of our business by generating broader awareness, which can support adoption and increase utilization of Vivistim Therapy. Candidates for Vivistim Therapy generally result from three primary sources: physician referrals, therapist referrals, and direct patient engagement. A diverse network of care providers, including stroke interventionalists, neurosurgeons, neurologists, physical medicine and rehabilitation physicians, occupational and physical therapists, stroke coordinators and nurses, support and interact with stroke survivors. We directly engage with each of these stakeholders through our field-based commercial team and specialized events, summits, and conferences. In addition, we engage in direct patient education activities, such as webinars, outreach through support groups, digital advertising and other targeted activities. We believe that establishing strong referral patterns between providers and engaging directly with stroke survivors and their caregivers will help to further market development, awareness and utilization. For example, we believe that as awareness and utilization increase, stroke centers will naturally integrate Vivistim Therapy into standard care pathways for stroke survivors upon discharge and establish self-sustaining care programs that use Vivistim Therapy over time. Our financial performance will be significantly impacted by the extent to which we can increase awareness and utilization, as well as the timing and rate of adoption of our products by healthcare providers.</w:t>
      </w:r>
    </w:p>
    <w:p>
      <w:pPr>
        <w:spacing w:after="0" w:line="83" w:lineRule="exact"/>
        <w:rPr>
          <w:rFonts w:ascii="Times New Roman" w:cs="Times New Roman" w:eastAsia="Times New Roman" w:hAnsi="Times New Roman"/>
          <w:sz w:val="18"/>
          <w:szCs w:val="18"/>
          <w:color w:val="auto"/>
        </w:rPr>
      </w:pPr>
    </w:p>
    <w:p>
      <w:pPr>
        <w:ind w:left="760" w:right="100" w:hanging="378"/>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Growing our commercial organization. </w:t>
      </w:r>
      <w:r>
        <w:rPr>
          <w:rFonts w:ascii="Times New Roman" w:cs="Times New Roman" w:eastAsia="Times New Roman" w:hAnsi="Times New Roman"/>
          <w:sz w:val="18"/>
          <w:szCs w:val="18"/>
          <w:color w:val="auto"/>
        </w:rPr>
        <w:t>To promote awareness and utilization, we expect to continue to efficiently invest in and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organization. For example, our selling, general and administrative expenses were $25.2 million for the three months ended March 31, 2026 compared to $13.6 million for the three months ended March 31, 2025. We intend to continue to make significant investments in our commercial organization by scaling our team, which we believe will broaden our geographic reach, drive penetration, and increase access to our products. We seek to scale deliberately and efficiently using our scalable commercial model, which initially targets a highly concentrated group of high-volume primary and comprehensive stroke centers. These stroke centers are typically surrounded by a network of therapy sites with neurorehabilitation capabilities, providing the infrastructure for efficient implementation of Vivistim Therapy. Historically, substantially all Vivistim System implants have been performed at primary and comprehensive stroke centers. While we aim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left="760" w:right="320"/>
        <w:spacing w:after="0" w:line="282" w:lineRule="auto"/>
        <w:rPr>
          <w:sz w:val="20"/>
          <w:szCs w:val="20"/>
          <w:color w:val="auto"/>
        </w:rPr>
      </w:pPr>
      <w:r>
        <w:rPr>
          <w:rFonts w:ascii="Times New Roman" w:cs="Times New Roman" w:eastAsia="Times New Roman" w:hAnsi="Times New Roman"/>
          <w:sz w:val="18"/>
          <w:szCs w:val="18"/>
          <w:color w:val="auto"/>
        </w:rPr>
        <w:t>to expand strategically and efficiently, the rate at which we grow our commercial organization and the speed at which newly hired personnel become effective will impact our revenue growth and our costs incurred in anticipation of such growth.</w:t>
      </w:r>
    </w:p>
    <w:p>
      <w:pPr>
        <w:spacing w:after="0" w:line="50" w:lineRule="exact"/>
        <w:rPr>
          <w:sz w:val="20"/>
          <w:szCs w:val="20"/>
          <w:color w:val="auto"/>
        </w:rPr>
      </w:pPr>
    </w:p>
    <w:p>
      <w:pPr>
        <w:ind w:left="760" w:right="80" w:hanging="378"/>
        <w:spacing w:after="0" w:line="25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Reimbursement and expanding payor coverage. </w:t>
      </w:r>
      <w:r>
        <w:rPr>
          <w:rFonts w:ascii="Times New Roman" w:cs="Times New Roman" w:eastAsia="Times New Roman" w:hAnsi="Times New Roman"/>
          <w:sz w:val="18"/>
          <w:szCs w:val="18"/>
          <w:color w:val="auto"/>
        </w:rPr>
        <w:t>Healthcare providers generally rely on third-party payors, including Medicare, Medicaid,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Medicare Advantage and commercial insurance plans, to cover and reimburse all or part of the cost of the Vivistim System. As a result, demand for our Vivistim System depends in part on the availability of reimbursement from such payors and the rates that such payors reimburse for implantation procedures with the Vivistim System. The Vivistim System implantation procedure falls under a long-established Category 1 CPT code. Effective January 1, 2026, this code was assigned to a New Technology Ambulatory Payment Classification (APC) by CMS, which established an elevated payment level. Future changes in payment levels could have a significant impact on patient access to the Vivistim System, and thus on our revenue, either positively or negatively. Medicare fee-for-service patients can typically access Vivistim Therapy when medically necessary, without prior authorization. Commercial insurance plans, Medicaid and Medicare Advantage generally require prior authorization. Our in-house market access team works to provide support in navigating the prior authorization process and facilitating positive coverage decisions by third-party payors, including by utilizing our robust clinical evidence, demonstrating economic value, and leveraging endorsements from key opinion leaders. Our recent growth was, and our future success will be, driven in part by our ability to facilitate streamlined prior authorization processes and increase coverage by third-party payors, and improve market access.</w:t>
      </w:r>
    </w:p>
    <w:p>
      <w:pPr>
        <w:spacing w:after="0" w:line="81" w:lineRule="exact"/>
        <w:rPr>
          <w:rFonts w:ascii="Times New Roman" w:cs="Times New Roman" w:eastAsia="Times New Roman" w:hAnsi="Times New Roman"/>
          <w:sz w:val="18"/>
          <w:szCs w:val="18"/>
          <w:color w:val="auto"/>
        </w:rPr>
      </w:pPr>
    </w:p>
    <w:p>
      <w:pPr>
        <w:ind w:left="760" w:right="60" w:hanging="378"/>
        <w:spacing w:after="0" w:line="25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clinical evidence. </w:t>
      </w:r>
      <w:r>
        <w:rPr>
          <w:rFonts w:ascii="Times New Roman" w:cs="Times New Roman" w:eastAsia="Times New Roman" w:hAnsi="Times New Roman"/>
          <w:sz w:val="18"/>
          <w:szCs w:val="18"/>
          <w:color w:val="auto"/>
        </w:rPr>
        <w:t>We have built, and remain committed to expanding, a robust body of clinical evidence demonstrating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efficacy and durability of Vivistim Therapy. We believe the extent of our clinical evidence is important for increasing awareness and adoption of, and driving broader coverage decisions for the Vivistim System. We are actively enrolling patients in our GRASP registry and plan to publish 12-, 24-, and 36-month outcomes. We anticipate that our real-world evidence will also support a robust cadence of publications in the future that will further validate our clinical trials and the direct experiences of patients and healthcare providers. We plan to build our base of clinical evidence by supporting new clinical studies.</w:t>
      </w:r>
    </w:p>
    <w:p>
      <w:pPr>
        <w:spacing w:after="0" w:line="74" w:lineRule="exact"/>
        <w:rPr>
          <w:rFonts w:ascii="Times New Roman" w:cs="Times New Roman" w:eastAsia="Times New Roman" w:hAnsi="Times New Roman"/>
          <w:sz w:val="18"/>
          <w:szCs w:val="18"/>
          <w:color w:val="auto"/>
        </w:rPr>
      </w:pPr>
    </w:p>
    <w:p>
      <w:pPr>
        <w:ind w:left="760" w:right="100" w:hanging="378"/>
        <w:spacing w:after="0" w:line="25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investment in research and development. </w:t>
      </w:r>
      <w:r>
        <w:rPr>
          <w:rFonts w:ascii="Times New Roman" w:cs="Times New Roman" w:eastAsia="Times New Roman" w:hAnsi="Times New Roman"/>
          <w:sz w:val="18"/>
          <w:szCs w:val="18"/>
          <w:color w:val="auto"/>
        </w:rPr>
        <w:t>We focus on innovation to develop new products and product enhancements, including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clinical outcomes, optimize patient experience, enhance physician usability, increase utilization, and increase patient engagement. We expect to continue to invest in supporting these initiatives. Our near-term research and development activities are primarily directed toward continued technological advancement of the Vivistim System, and development of a next-generation Vivistim System with enhanced features. We also expect to invest in exploring expansions into other functional impairments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lower limb) or stroke etiologies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intracerebral hemorrhage).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212529"/>
        </w:rPr>
        <w:t>We currently generate all of our revenue from the sale of our Vivistim System to customers, mainly primary and comprehensive stroke centers, in the United States. Our customers typically purchase an initial stocking order and then reorder replenishment product as procedures are performed. No single customer accounted for 10% or more of our revenue during the three months ended March 31, 2026 or 2025. We expect revenue to increase as we expand our commercial organization and sales territories, add customers and expand patient and customer awareness. We have expanded our commercial organization to help us drive and support revenue growth and intend to continue this expansion. We also expect that demand, and thus revenue growth, will be positively impacted by, and to the extent that, we obtain additional positive coverage policies with payors. While we have experienced strong revenue growth, our revenue may fluctuate from quarter to quarter due to a variety of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212529"/>
        </w:rPr>
        <w:t>Cost of goods sold primarily consists of acquisition costs of finished goods and components, depreciation, warranty costs to replace aged, damaged or unusable items, product replacement costs, shipping costs, packaging costs, and allocated costs including facilities and information technology. We expect cost of goods sold to increase in absolute terms as our revenue grows.</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9" w:name="page30"/>
    <w:bookmarkEnd w:id="29"/>
    <w:p>
      <w:pPr>
        <w:ind w:right="340" w:firstLine="374"/>
        <w:spacing w:after="0" w:line="266" w:lineRule="auto"/>
        <w:rPr>
          <w:sz w:val="20"/>
          <w:szCs w:val="20"/>
          <w:color w:val="auto"/>
        </w:rPr>
      </w:pPr>
      <w:r>
        <w:rPr>
          <w:rFonts w:ascii="Times New Roman" w:cs="Times New Roman" w:eastAsia="Times New Roman" w:hAnsi="Times New Roman"/>
          <w:sz w:val="18"/>
          <w:szCs w:val="18"/>
          <w:color w:val="212529"/>
        </w:rPr>
        <w:t>We calculate gross margin as gross profit divided by revenue. Our gross profit has been and will continue to be affected by a variety of factors, including sales volumes, purchase volumes of inventory, cost of goods sold, tariffs, inflation, and product yields. Our gross margin will likely fluctuate from quarter to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212529"/>
        </w:rPr>
        <w:t>Research and development costs primarily consist of expenses related to product development, engineering, clinical studies related to new clinical indications, regulatory expenses, testing, consulting services and other costs associated with product improvements and next generation versions of our products. Other research and development expenses include salaries, employee benefits, stock-based compensation and other headcount-related costs, depreciation expense and allocated costs related to facilities and information technology. We expect our research and development costs to increase in absolute dollars in the future as we pursue product development initiatives, including product improvements and next-generation versions of our products, and continue to expand our clinical data. We expect research and development costs as a percentage of revenue to vary over time depending on the level and timing of initiating product development efforts and clinical development activities.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212529"/>
        </w:rPr>
        <w:t>Selling, general and administrative expenses primarily consist of compensation for personnel, including salaries, employee benefits, stock-based compensation, commissions associated with our commercial organization, spending related to sales and marketing, finance, information technology and human resource functions, expenses related to clinical studies and our registry for our current clinical indication, legal expenses related to regulatory matters, and training. Other expenses include travel expenses, advertising, conferences, trade shows, consulting and professional services fees, insurance costs, and general corporate expenses, including facilities-related expenses. The activities of our TMs and TDSs to facilitate customer adoption and utilization of the Vivistim System, and of our in-house market access team in facilitating the administrative prior authorization process, are included in selling, general and administrative expenses and do not represent contractual obligations or services provided to customers after product delivery. We expect selling, general and administrative expenses to continue to increase in absolute dollars as we expand our commercial organization, including with respect to TMs and TDSs, to both drive and support our planned growth in revenue, fund clinical studies and our registry for our current clinical indication, and incur additional expenses associated with operating as a public company, including costs related to legal, accounting, insurance, compliance with exchange listing and Securities and Exchange Commission requirements, and investor relations. We also expect an increase in our stock-based compensation expense with the establishment of the new equity plan in connection with our IPO and related grants thereunder. However, we expect selling, general and administrative expenses to decrease as a percentage of revenue primarily as, and to the extent, our revenue grows.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primarily of interest expense on our debt obligations, including our Loan and Security Agreement, as well as amortization of debt issuance costs, interest income on our cash and cash equivalents and fair value adjustments related to our redeemable convertible preferred stock warrants and redeemable convertible preferred stock tranche liability. We expect our other income (expense), net to vary in future periods depending on the extent of our debt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of income taxes in the United States and includes deferred taxes on temporary differences for tax and financial statement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w:t>
            </w:r>
          </w:p>
        </w:tc>
        <w:tc>
          <w:tcPr>
            <w:tcW w:w="10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12,074</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2,133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9,941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4,646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114.0 %</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25,186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13,596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26,878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14,950</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130.7 %</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w:t>
            </w: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-2014220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-2014220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-2014220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-1447800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-1447800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-599440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-599440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-316230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-316230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increased by $6.4 million, or 113.3%, to $12.1 million for the three months ended March 31, 2026, compared to $5.7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2025. The increase was driven entirely by higher adoption of the Vivistim System. Units of IPGs sold, a primary component of the Vivistim System, increased by 108.9% during the period. This revenue growth reflects our continued efforts to increase awareness and expand our commercial organization while maintaining a consistent average selling price of the Vivistim System.</w:t>
      </w:r>
    </w:p>
    <w:p>
      <w:pPr>
        <w:spacing w:after="0" w:line="180" w:lineRule="exact"/>
        <w:rPr>
          <w:sz w:val="20"/>
          <w:szCs w:val="20"/>
          <w:color w:val="auto"/>
        </w:rPr>
      </w:pPr>
    </w:p>
    <w:p>
      <w:pPr>
        <w:ind w:right="8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Cost of goods sold and gross margin</w:t>
      </w:r>
      <w:r>
        <w:rPr>
          <w:rFonts w:ascii="Times New Roman" w:cs="Times New Roman" w:eastAsia="Times New Roman" w:hAnsi="Times New Roman"/>
          <w:sz w:val="18"/>
          <w:szCs w:val="18"/>
          <w:color w:val="auto"/>
        </w:rPr>
        <w:t>. Cost of goods sold increased by $1.1 million, or 110.2%, to $2.1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$1.0 million for the three months ended March 31, 2025. While the cost per unit of the underlying product remained relatively consistent year over year, the increase in cost of goods sold was primarily driven by higher sales volume of Vivistim Systems, as well as an increase in incoming freight and product warranty costs during the period ended March 31, 2026. Gross margin increased to 82.3% in the current period, from 82.1% in the three month period ended March 31, 2025. Gross margin improved slightly due to lower product warranty expense as a percentage of revenue, while per-unit product costs remained relatively consistent.</w:t>
      </w:r>
    </w:p>
    <w:p>
      <w:pPr>
        <w:spacing w:after="0" w:line="182" w:lineRule="exact"/>
        <w:rPr>
          <w:sz w:val="20"/>
          <w:szCs w:val="20"/>
          <w:color w:val="auto"/>
        </w:rPr>
      </w:pPr>
    </w:p>
    <w:p>
      <w:pPr>
        <w:jc w:val="both"/>
        <w:ind w:right="3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costs</w:t>
      </w:r>
      <w:r>
        <w:rPr>
          <w:rFonts w:ascii="Times New Roman" w:cs="Times New Roman" w:eastAsia="Times New Roman" w:hAnsi="Times New Roman"/>
          <w:sz w:val="18"/>
          <w:szCs w:val="18"/>
          <w:color w:val="auto"/>
        </w:rPr>
        <w:t>. Research and development costs increased by $0.3 million, or 24.9%, to $1.7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compared to $1.4 million for the three months ended March 31, 2025. The increase was primarily due to an increase of $0.2 million of expenses related to increased headcount and related expenses and $0.1 million of expenses related to product and related software development efforts including external development services.</w:t>
      </w:r>
    </w:p>
    <w:p>
      <w:pPr>
        <w:spacing w:after="0" w:line="180" w:lineRule="exact"/>
        <w:rPr>
          <w:sz w:val="20"/>
          <w:szCs w:val="20"/>
          <w:color w:val="auto"/>
        </w:rPr>
      </w:pPr>
    </w:p>
    <w:p>
      <w:pPr>
        <w:ind w:right="12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$11.6 million, or 85.3%, to $25.2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2026, compared to $13.6 million for the three months ended March 31, 2025. The increase was primarily due to an increase of $6.4 million in personnel-related expenses as a result of increased headcount primarily in our commercial organization, as well as higher commissions related to increased sales of Vivistim Systems. Additional increases included $1.9 million in audit, legal and other professional fees, $1.1 million in travel and meeting expenses related to increased staffing, and $0.8 million in marketing and branding-related costs, including expenses associated with our name change. The increase also reflects $0.6 million related to the post-market GRASP clinical study.</w:t>
      </w:r>
    </w:p>
    <w:p>
      <w:pPr>
        <w:spacing w:after="0" w:line="182"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other income (expense), net. </w:t>
      </w:r>
      <w:r>
        <w:rPr>
          <w:rFonts w:ascii="Times New Roman" w:cs="Times New Roman" w:eastAsia="Times New Roman" w:hAnsi="Times New Roman"/>
          <w:sz w:val="18"/>
          <w:szCs w:val="18"/>
          <w:color w:val="auto"/>
        </w:rPr>
        <w:t>Total other expense, net was $0.8 million for the three months ended March 31, 2026, compared to total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of $0.3 million for the three months ended March 31, 2025. The increase was primarily attributable to $0.7 million in changes in the fair value of our Convertible Notes, $0.2 million of higher interest income resulting from a higher average cash balance and $0.2 million in changes in the value of warrant liabilities, partially offset by $0.1 million of increased interest expense related to the amortization of debt discount.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of preferred stock, debt financing arrangements and revenue from sales of our Vivistim System and, subsequent to March 31, 2026, net proceeds from our IPO. As of March 31, 2026, we had cash and cash equivalents of $55.7 million and an accumulated deficit of approximately $175.5 million. During the three months ended March 31, 2026, we issued Convertible Promissory Notes in an aggregate principal amount of $40.0 million. In May 2026, we completed our IPO and received proceeds of approximately $134.5 million.</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expect our operating expenses to continue to increase for the foreseeable future as we continue to make significant investments in our commercial organization, seek to expand our marketing programs to help facilitate further awareness and adoption of our Vivistim System, continue to make investments in research and development, including regulatory affairs and clinical studies, and as we continue to scale our infrastructure. Moreover, we expect to incur additional expenses associated with operating as a public company, including costs related to legal, accounting, insurance, exchange listing and SEC requirements, and investor relations.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liquidity and capital requirements will depend on numerous factors, including:</w:t>
      </w:r>
    </w:p>
    <w:p>
      <w:pPr>
        <w:spacing w:after="0" w:line="117"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revenue growth;</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market awareness and adoption of Vivistim Therapy, including by patients and our customers;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scope, timing and costs of supporting the growth and expansion of our commercial organization and efforts;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adoption of private payor coverage of our products;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the acquisition costs of finished goods and components used in our products;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costs associated with securing additional suppliers and service providers;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timing and costs of our research and development efforts;</w:t>
      </w:r>
    </w:p>
    <w:p>
      <w:pPr>
        <w:spacing w:after="0" w:line="117" w:lineRule="exact"/>
        <w:rPr>
          <w:rFonts w:ascii="Times New Roman" w:cs="Times New Roman" w:eastAsia="Times New Roman" w:hAnsi="Times New Roman"/>
          <w:sz w:val="14"/>
          <w:szCs w:val="14"/>
          <w:color w:val="auto"/>
        </w:rPr>
      </w:pPr>
    </w:p>
    <w:p>
      <w:pPr>
        <w:ind w:left="760" w:right="660" w:hanging="378"/>
        <w:spacing w:after="0" w:line="282"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scope, rate of progress and costs of our current or future clinical trials and registries as well as costs associated with complying with regulatory requirements;</w:t>
      </w:r>
    </w:p>
    <w:p>
      <w:pPr>
        <w:spacing w:after="0" w:line="5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cost and timing of additional regulatory clearances or approvals;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whether we acquire third-party products or technologies;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litigation or other claims against us for intellectual property infringement or otherwise;</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emergence of competing or complementary technologies;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debt service requirements;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general economic, industry and market conditions or extraordinary external events, such as a recession;</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rate at which we expand internationally;</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cost associated with being a public company;</w:t>
      </w:r>
    </w:p>
    <w:p>
      <w:pPr>
        <w:spacing w:after="0" w:line="1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reputation among physicians, hospitals, therapists and patients; and</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2" w:name="page33"/>
    <w:bookmarkEnd w:id="32"/>
    <w:p>
      <w:pPr>
        <w:ind w:left="760" w:right="460" w:hanging="378"/>
        <w:spacing w:after="0" w:line="282"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whether we are required by the FDA or comparable non-U.S. regulatory authorities to conduct additional clinical trials for future or current indications.</w:t>
      </w:r>
    </w:p>
    <w:p>
      <w:pPr>
        <w:spacing w:after="0" w:line="16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which include the net proceeds from our IPO in May 2026, will be sufficient to fund our planned operating expenses for at least the next 12 months. We have based this estimate on assumptions that may prove to be wrong, and we could deplete our capital resources sooner than we expect. Our ability to continue as a going concern is dependent upon our ability to successfully secure sources of financing and ultimately achieve profitable operations.</w:t>
      </w:r>
    </w:p>
    <w:p>
      <w:pPr>
        <w:spacing w:after="0" w:line="180"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If these sources are insufficient to satisfy our liquidity requirements, we may seek additional financing or to raise any necessary additional capital through public or private equity offerings or debt financings, credit or loan facilities or a combination of one or more of these or other funding sources. Additional funds may not be available to us on acceptable terms or at all. If we fail to obtain necessary capital when needed on acceptable terms, or at all, we could be forced to delay, limit, reduce or terminate our commercial efforts, product development programs or other operations, and such failure would have a negative impact on our financial condition and our ability to execute our business plan. If we raise additional funds by issuing equity securities or convertible debt,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If we raise additional capital through collaboration agreements, licensing arrangements or marketing and distribution or other similar arrangements, we may have to relinquish valuable rights, future revenue streams, research programs or product or grant licenses that may not be favorable to us.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3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2"/>
                <w:szCs w:val="12"/>
                <w:color w:val="auto"/>
              </w:rPr>
            </w:pPr>
          </w:p>
        </w:tc>
        <w:tc>
          <w:tcPr>
            <w:tcW w:w="11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3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39,908</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32,424</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22,138</w:t>
            </w: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22,678</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$17.7 million for the three months ended March 31, 2026, compared to $9.7 million for the three months ended March 31, 2025. The increase in cash used was primarily due to a higher net loss of $17.7 million. Cash used in operating activities for the three months ended March 31, 2026 was also impacted by increases in inventory of $0.6 million and decreases in accrued liabilities and other of $0.9 million. These uses of cash were partially offset by increases in accounts payable of $0.8 million, as well as non-cash share-based compensation of $0.4 million and non-cash amortization of debt discount and debt issuance costs of $0.1 million.</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$9.7 million for the three months ended March 31, 2025. This was primarily due to net losses incurred during the period of $10.7 million, partially offset by increases in accounts payable of $1.5 million and accrued liabilities and other of $0.9 million, as well as non-cash share-based compensation of $0.2 million and changes in the fair value of warrant liabilities of $0.3 million.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$42.0 thousand for the three months ended March 31, 2026, compared to $23.0 thousand for the three months ended March 31, 2025, in each case consisting of purchases of property and equipment.</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$39.9 million for the three months ended March 31, 2026, attributable primarily to $14.1 million in proceeds from the issuance of our Convertible Notes, $25.9 million in proceeds from the related party issuance of our Convertible Notes, and $0.4 million received upon the exercise of stock options, offset by payment of deferred offering costs of $0.5 million.</w:t>
      </w:r>
    </w:p>
    <w:p>
      <w:pPr>
        <w:spacing w:after="0" w:line="176"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$32.4 million for the three months ended March 31, 2025, attributable primarily to $29.6 million in net proceeds from the issuance of Series F redeemable convertible preferred stock, $2.6 million from the related party issuance of Series F redeemable convertible preferred stock, and $0.2 million received upon the exercise of stock options.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 with Horizon</w:t>
      </w:r>
    </w:p>
    <w:p>
      <w:pPr>
        <w:spacing w:after="0" w:line="12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On December 29, 2023, we entered into a Loan and Security Agreement (the “Loan and Security Agreement”) with Horizon Technology Finance Corporation.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Each tranche comprises two equal loans of $3,750,000. As of December 31, 2025, there was $7.5 million outstanding under the Loan and Security Agreement, representing the full available aggregate principal amount under the Loan and Security Agreement, and no additional tranches are available to draw down under the Loan and Security Agreement in the future.</w:t>
      </w:r>
    </w:p>
    <w:p>
      <w:pPr>
        <w:spacing w:after="0" w:line="189"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The tranches are subject to various conditions and requirements set out in the Loan and Security Agreement. The availability of the first tranche was subject to, among other things, our completing an equity offering of at least $15.0 million on or before December 31, 2023. We satisfied the conditions of the first tranche and drew down $7.5 million in December 2023. The availability of the second tranche was subject to, among other things, our completing an equity offering of at least $15.0 million on or before December 31, 2024. We did not draw down this second tranche. The availability of the third tranche was subject to, among other things, (i) our achievement of at least $20.0 million of trailing 12-month revenue as of the funding date and (ii) our completing an equity offering of at least $30.0 million on or before June 20, 2025. We did not draw down this third tranche. The availability of the fourth tranche is subject to, among other things, (i) our achievement of at least $25.0 million of trailing 12-month revenue as of the funding date and (ii) our completing an equity offering of at least $30.0 million on or before December 31, 2025. We did not draw down this fourth tranche. Our ability to draw additional loans under the Loan and Security Agreement expired on December 31, 2025.</w:t>
      </w:r>
    </w:p>
    <w:p>
      <w:pPr>
        <w:spacing w:after="0" w:line="188" w:lineRule="exact"/>
        <w:rPr>
          <w:sz w:val="20"/>
          <w:szCs w:val="20"/>
          <w:color w:val="auto"/>
        </w:rPr>
      </w:pPr>
    </w:p>
    <w:p>
      <w:pPr>
        <w:ind w:right="40" w:firstLine="374"/>
        <w:spacing w:after="0" w:line="277" w:lineRule="auto"/>
        <w:rPr>
          <w:sz w:val="20"/>
          <w:szCs w:val="20"/>
          <w:color w:val="auto"/>
        </w:rPr>
      </w:pPr>
      <w:r>
        <w:rPr>
          <w:rFonts w:ascii="Times New Roman" w:cs="Times New Roman" w:eastAsia="Times New Roman" w:hAnsi="Times New Roman"/>
          <w:sz w:val="17"/>
          <w:szCs w:val="17"/>
          <w:color w:val="auto"/>
        </w:rPr>
        <w:t>Pursuant to the Loan and Security Agreement, we are required to issue a warrant to purchase shares of our securities in the event that we draw down a tranche following satisfaction of the applicable conditions. In connection with our draw down of the first tranche under the Loan and Security Agreement, we issued first tranche warrants to purchase such number of securities representing an aggregate of $262,500 to Horizon. The first tranche warrants are exercisable, at the election of Horizon, for (i) shares of Series E-2 redeemable convertible preferred stock at an exercise price of $2.5443 per share or (ii) shares of Series F redeemable convertible preferred stock at an exercise price of $2.6317 per share, and expire ten years from the date of issuance.</w:t>
      </w:r>
    </w:p>
    <w:p>
      <w:pPr>
        <w:spacing w:after="0" w:line="16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Loan and Security Agreement matures on January 1, 2029. Borrowings under the Loan and Security Agreement accrue interest at an annual rate equal to the greater of (i) The Wall Street Journal (or any successor thereto) prime rate (subject to a floor of 8.50%) plus 3.75% and (ii) 12.25%. We are required to make monthly payments of interest only through January 1, 2028. Following such date, we are required to make monthly payments of principal and accrued interest through maturity. The unpaid balance of principal and accrued interest is due at maturity.</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jc w:val="both"/>
        <w:ind w:right="20" w:firstLine="374"/>
        <w:spacing w:after="0" w:line="258" w:lineRule="auto"/>
        <w:rPr>
          <w:sz w:val="20"/>
          <w:szCs w:val="20"/>
          <w:color w:val="auto"/>
        </w:rPr>
      </w:pPr>
      <w:r>
        <w:rPr>
          <w:rFonts w:ascii="Times New Roman" w:cs="Times New Roman" w:eastAsia="Times New Roman" w:hAnsi="Times New Roman"/>
          <w:sz w:val="18"/>
          <w:szCs w:val="18"/>
          <w:color w:val="auto"/>
        </w:rPr>
        <w:t>The Loan and Security Agreement provides that we can at any time prepay, in whole but not in part, amounts outstanding under the Loan and Security Agreement, subject to a prepayment premium on the outstanding principal amount of the loans being repaid equal to (i) 3.0% if such prepayment occurs on or prior to the second anniversary of the Loan and Security Agreement; (ii) 2.0% if such prepayment occurs after the second anniversary, and on or prior to the fourth anniversary, of the Loan and Security Agreement; and (iii) 1.0% if such prepayment occurs after the fourth anniversary of the Loan and Security Agreement and prior to maturity.</w:t>
      </w:r>
    </w:p>
    <w:p>
      <w:pPr>
        <w:spacing w:after="0" w:line="183"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We are required to make a final payment of $131,250 for each loan funded on the earlier of (i) the date that we prepay all of the outstanding principal of such loan, (ii) the date of acceleration of the balance of such loan by the Lender, and (iii) the maturity.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outstanding under the Loan and Security Agreement are secured by substantially all of our assets, excluding intellectual property.</w:t>
      </w:r>
    </w:p>
    <w:p>
      <w:pPr>
        <w:spacing w:after="0" w:line="22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Loan and Security Agreement includes customary affirmative and negative covenants and events of default. Upon the occurrence and continuance of an event of default, Horizon may demand immediate repayment of all principal and unpaid interest under the Loan and Security Agreement, and exercise remedies against us and the collateral securing our obligations under the Loan and Security Agreement. Events of default under the Loan and Security Agreement include, among other things: (i) insolvency, bankruptcy or similar proceedings subject to a certain grace period in respect of any involuntary insolvency, bankruptcy or similar proceedings; (ii) failure to pay any debts due under the Loan and Security Agreement or other indebtedness on a timely basis; (iii) failure to observe any covenant or other terms under the Loan and Security Agreement or the other Loan Documents (as defined in the Loan and Security Agreement), some of which are subject to a certain cure period; (iv) occurrence of a material adverse change; (v) material misrepresentations; and</w:t>
      </w:r>
    </w:p>
    <w:p>
      <w:pPr>
        <w:spacing w:after="0" w:line="3" w:lineRule="exact"/>
        <w:rPr>
          <w:sz w:val="20"/>
          <w:szCs w:val="20"/>
          <w:color w:val="auto"/>
        </w:rPr>
      </w:pPr>
    </w:p>
    <w:p>
      <w:pPr>
        <w:ind w:left="380" w:right="1560" w:hanging="372"/>
        <w:spacing w:after="0" w:line="511"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certain final, non-appealable judgments against us in excess of $250,000 not paid or bonded within 10 days of such entry. As of March 31, 2026, we were in compliance with all covenants contained in the Loan and Security Agreement.</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2026 Convertible Notes</w:t>
      </w:r>
    </w:p>
    <w:p>
      <w:pPr>
        <w:spacing w:after="0" w:line="121"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From January 30, 2026 through February 11, 2026, we issued convertible promissory notes to certain investors in an aggregate principal amount of $40.0 million (the “Convertible Notes”). The Convertible Notes mature on January 30, 2028 (the “Maturity Date”). The Convertible Notes bear no interest for the first six months following the date of issuance (the “Interest Free Period”). Following such Interest Free Period, the Convertible Notes accrue interest at a rate of 7.0% per annum through the Maturity Date, which interest payments shall be paid in kind. Pursuant to the terms of the Convertible Notes, immediately prior to the completion of the public offering, the Convertible Notes and any accrued interest will automatically convert into shares of our common stock at the applicable conversion price. The conversion price is the lower of (a) 80% of the initial public offering price per share in the initial public offering and (b) the valuation of the Company immediately prior to the closing of the initial public offering divided by the number of fully diluted shares of capital stock (on an as-converted basis) outstanding immediately prior to the initial public offering but excluding the Convertible Notes (the “Fully Diluted Capitalization”), provided, that in no event shall such conversion price be less than the quotient obtained by dividing $226.0 million by the Fully Diluted Capitalization or greater than the quotient obtained by dividing $750.0 million by the Fully Diluted Capitalization. Immediately prior to the closing of our IPO, the Convertible Notes and any accrued paid-in-kind interest automatically converted into an aggregate of 3,333,324 shares of the Company’s common stock.</w:t>
      </w: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As of March 31, 2026, our contractual obligations and commitments consist primarily of obligations under our Loan and Security Agreement, Convertible Notes, operating leases and purchase commitments with third-party suppliers.</w:t>
      </w:r>
    </w:p>
    <w:p>
      <w:pPr>
        <w:spacing w:after="0" w:line="162"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As of March 31, 2026, we had approximately $7.5 million in principal outstanding under the Loan and Security Agreement. Borrowings under the Loan and Security Agreement accrue interest at an annual rate equal to the greater of (i) The Wall Street Journal (or any successor thereto) prime rate (subject to a floor of 8.50%) plus 3.75% and (ii) 12.25%. We are required to make monthly payments of interest only through January 1, 2028. Following such date, we are required to make monthly payments of principal and accrued interest through maturity. The unpaid balance of principal and accrued interest is due at maturity. Amounts outstanding under the Loan and Security Agreement are secured by substantially all of our assets, excluding intellectual property. Because the interest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rate is variable, future interest obligations are not fixed. For additional information, see Note 6 – </w:t>
      </w:r>
      <w:r>
        <w:rPr>
          <w:rFonts w:ascii="Times New Roman" w:cs="Times New Roman" w:eastAsia="Times New Roman" w:hAnsi="Times New Roman"/>
          <w:sz w:val="18"/>
          <w:szCs w:val="18"/>
          <w:i w:val="1"/>
          <w:iCs w:val="1"/>
          <w:color w:val="auto"/>
        </w:rPr>
        <w:t>Convertible Notes and Notes Payable</w:t>
      </w:r>
      <w:r>
        <w:rPr>
          <w:rFonts w:ascii="Times New Roman" w:cs="Times New Roman" w:eastAsia="Times New Roman" w:hAnsi="Times New Roman"/>
          <w:sz w:val="18"/>
          <w:szCs w:val="18"/>
          <w:color w:val="auto"/>
        </w:rPr>
        <w:t xml:space="preserve"> to our condensed financial statements included in this Quarterly Report.</w:t>
      </w:r>
    </w:p>
    <w:p>
      <w:pPr>
        <w:spacing w:after="0" w:line="16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January and February 2026, we issued Convertible Notes in an aggregate principal amount of $40.0 million. The Convertible Notes bear no interest for the first six months following the date of issuance, after which the Convertible Notes accrue interest at a rate of 7.0% per annum through maturity, which interest payments shall be paid in kind, unless earlier converted or repaid. Immediately prior to the closing of our IPO, the Convertible Notes and any accrued paid-in-kind interest automatically converted into 3,333,324 shares of the Company’s common stock. For additional information, see Note 6 – </w:t>
      </w:r>
      <w:r>
        <w:rPr>
          <w:rFonts w:ascii="Times New Roman" w:cs="Times New Roman" w:eastAsia="Times New Roman" w:hAnsi="Times New Roman"/>
          <w:sz w:val="18"/>
          <w:szCs w:val="18"/>
          <w:i w:val="1"/>
          <w:iCs w:val="1"/>
          <w:color w:val="auto"/>
        </w:rPr>
        <w:t xml:space="preserve">Convertible Notes and Notes Payable </w:t>
      </w:r>
      <w:r>
        <w:rPr>
          <w:rFonts w:ascii="Times New Roman" w:cs="Times New Roman" w:eastAsia="Times New Roman" w:hAnsi="Times New Roman"/>
          <w:sz w:val="18"/>
          <w:szCs w:val="18"/>
          <w:color w:val="auto"/>
        </w:rPr>
        <w:t>to our condensed financial statements included in this Quarterly Report.</w:t>
      </w:r>
    </w:p>
    <w:p>
      <w:pPr>
        <w:spacing w:after="0" w:line="183" w:lineRule="exact"/>
        <w:rPr>
          <w:sz w:val="20"/>
          <w:szCs w:val="20"/>
          <w:color w:val="auto"/>
        </w:rPr>
      </w:pPr>
    </w:p>
    <w:p>
      <w:pPr>
        <w:jc w:val="both"/>
        <w:ind w:right="1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We lease office and warehouse space under non-cancellable operating lease agreements. These leases require fixed monthly payments and may also include variable payments for our proportionate share of property taxes and common area operating expenses. Variable lease payments are not included in the measurement of lease liabilities and are recognized as incurred. For additional information, see Note 7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condensed financial statements included in this Quarterly Report.</w:t>
      </w:r>
    </w:p>
    <w:p>
      <w:pPr>
        <w:spacing w:after="0" w:line="180"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 xml:space="preserve">We rely on third-party contract manufacturers and suppliers and enter into purchase commitments in the ordinary course of business. These arrangements are generally executed through purchase orders and, in certain cases, include non-cancelable purchase commitments and binding forecast obligations. As of March 31, 2026, we had outstanding non-cancelable purchase commitments expected to be fulfilled within the next twelve months. For additional information, 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financial statements included in this Quarterly Report.</w:t>
      </w:r>
    </w:p>
    <w:p>
      <w:pPr>
        <w:spacing w:after="0" w:line="180"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become a party to claims, legal actions and complaints arising in the ordinary course of business. As of March 31, 2026, we are not aware of any material pending legal proceedings that we believe would have a material adverse effect on our financial condition, results of operations or cash flows. For additional information, 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financial statements included in this Quarterly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Through March 31, 2026,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of America (“GAAP”) requires us to make estimates and judgments that affect the amounts reported in the financial statements and related notes thereto. Critical accounting estimates are those estimates that, in accordance with GAAP, involve a significant level of estimation uncertainty and have had or are reasonably likely to have a material impact on our financial statements. Management has determined that our most critical accounting estimates are those relating to stock compensation and valuation of common stock. Although we believe that the estimates we use are reasonable, due to the inherent uncertainty involved in making these estimates, actual results reported in future periods could differ materially from those estimates. For further discussion about our accounting policies, see Note 3 to our condensed financial statements included in this Quarterly Report and the section titled “Management’s Discussion and Analysis of Financial Conditions and Results of Operations” in our Prospectus. There have been no significant or material changes in our critical accounting policies with which estimates and judgments are developed since December 31,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The JOBS Act permits EGCs such as us to take advantage of an extended transition period for complying with new or revised accounting standards. This provision allows an EGC to delay the adoption of some accounting standards until those standards would otherwise apply to private companies. We have elected to use the extended transition period for any other new or revised accounting</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standards during the period in which we remain an EGC; however, we may adopt certain new or revised accounting standards early. As a result, we will not be subject to the same new or revised accounting standards as other public companies that are not EGCs and our financial statements may not be comparable to other public companies that comply with new or revised accounting pronouncements as of public company effective dates.</w:t>
      </w:r>
    </w:p>
    <w:p>
      <w:pPr>
        <w:spacing w:after="0" w:line="176"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fiscal year ended December 31, 2031);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7"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by Rule 12b-2 of the Exchange Act. We may continue to be a smaller reporting company even after we are no longer an EGC.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of March 31, 2026, our management, with the participation of our Chief Executive Officer and our Chief Financial Officer, evaluated the effectiveness of our disclosure controls and procedures as defined in Rules 13a-15(e) and 15d-15(e) under the Exchange Act. Based on that evaluation, our Chief Executive Officer and our Chief Financial Officer concluded that the Company’s disclosure controls and procedures were not effective as of March 31, 2026 due to the material weakness in internal control over financial reporting described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121"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Our management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we did not design and maintain effective controls over the review of the inputs in the calculation of net loss per share attributable to common stockholders. The material weakness resulted in a revision to the weighted average number of shares and net loss per share attributable to common stockholders within the statement of operations and related disclosures as of and for the year ended December 31, 2025. Additionally, this material weakness could result in misstatements to net loss per share attributable to common stockholders and related disclosures that would result in a material misstatement to the annual or interim financial statements that would not be prevented or detected.</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Plan to Remediate the Material Weakness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response to the identified material weakness, our management has implemented and is continuing to enhance our internal control over financial reporting. These remediation measures include the design and implementation of a control over the calculation of weighted-average shares outstanding and net loss per share, including additional review by qualified accounting personnel. We have applied this control in connection with the preparation of our financial information for the quarter ended March 31, 2026. Our management is in the process of evaluating the effectiveness of these remediation efforts and will continue to monitor the design and operating effectiveness of the new control. The material weakness will not be considered remediated until the applicable controls have been designed, implemented, and operated effectively for a sufficient period of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As described in the “Plan to Remediate the Material Weakness” section above, there were changes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are and may in the future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including our financial statements and the related notes and the section titled “Management’s Discussion and Analysis of Financial Condition and Results of Operations,” and our other public filings.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 Certain statements below are forward-looking statements. See the section titled “Special Note Regarding Forward-Looking Statements” appearing elsewhere in this Quarterly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159" w:lineRule="exact"/>
        <w:rPr>
          <w:sz w:val="20"/>
          <w:szCs w:val="20"/>
          <w:color w:val="auto"/>
        </w:rPr>
      </w:pPr>
    </w:p>
    <w:p>
      <w:pPr>
        <w:ind w:right="160" w:firstLine="374"/>
        <w:spacing w:after="0" w:line="253"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reported net losses of $17.7 million and $10.7 million for the three months ended March 31, 2026 and 2025, respectively. As a result of these losses, as of March 31, 2026, we had an accumulated deficit of approximately $175.5 million. We expect to continue to incur significant sales and marketing, research and development, clinical and regulatory, and other expenses as we expand our commercial organization, increase marketing efforts to drive adoption of Vivistim Therapy, expand existing relationships with our customers, conduct clinical trials on our existing and future products and develop new products or add new features to our existing products, pursue any required regulatory clearances or approvals, and seek to establish broader commercial coverage. In addition, we expect our general and administrative expenses to increase due to the additional costs associated with being a public company. Additionally, we may encounter unforeseen expenses, difficulties, complications, delays, and other known and unknown obstacles as we continue to build and scale our business. The net losses that we incur may fluctuate significantly from period to period. We will need to generate significant additional revenue in order to achieve and sustain profitability. Even if we achieve profitability, we cannot be sure that we will remain profitable for any period of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could be materially and adversely affected.</w:t>
      </w:r>
    </w:p>
    <w:p>
      <w:pPr>
        <w:spacing w:after="0" w:line="22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have experienced recent rapid growth and anticipate further growth. For example, for the three months ended March 31, 2026, our revenue was $12.1 million compared to revenue of $5.7 million for the three months ended March 31, 2025, an increase of 113% year-over-year. This growth has placed significant demands on our management, financial, operational, technological and other resources, and we expect that our future growth will continue to place significant demands on our management and other resources and will require us to continue developing and improving our operational, financial and other internal controls. In particular, continued growth increases the challenges involved in a number of areas, including managing our third-party manufacturers and supplier relationships and ensuring adequate inventory is available, recruiting and retaining sufficient skilled personnel for leadership positions, sales force and other functions, providing adequate training and supervision to maintain our high-quality standards and preserving our culture and values. We may not be able to address these challenges in a cost-effective manner, or at all.</w:t>
      </w:r>
    </w:p>
    <w:p>
      <w:pPr>
        <w:spacing w:after="0" w:line="19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To achieve our business objectives, we must also successfully increase our supply of products and components from third-party manufacturers to meet expected demand. If demand decreases, we will need to implement capacity and cost reduction measures involving restructuring costs. If demand increases, we will be required to make capital expenditures related to increased production. This would also put pressure on our third-party manufacturing capabilities. For example, a sudden increase in demand could require increased production of components, such as the implantable pulse generator (IPG) or stimulation lead. Adapting to changes in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ind w:right="20"/>
        <w:spacing w:after="0" w:line="258" w:lineRule="auto"/>
        <w:rPr>
          <w:sz w:val="20"/>
          <w:szCs w:val="20"/>
          <w:color w:val="auto"/>
        </w:rPr>
      </w:pPr>
      <w:r>
        <w:rPr>
          <w:rFonts w:ascii="Times New Roman" w:cs="Times New Roman" w:eastAsia="Times New Roman" w:hAnsi="Times New Roman"/>
          <w:sz w:val="18"/>
          <w:szCs w:val="18"/>
          <w:color w:val="auto"/>
        </w:rPr>
        <w:t>demand inherently involves a delay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and results of operations.</w:t>
      </w:r>
    </w:p>
    <w:p>
      <w:pPr>
        <w:spacing w:after="0" w:line="183"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addition, we may experience challenges managing the inventory of components of our Vivistim System, which can lead to excess inventory. Inventory levels in excess of customer demand may result in inventory obsolescence or expiration, which could potentially result in inventory write-downs or write-offs, which could be substantial and could impact our gross margins.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spacing w:after="0" w:line="11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the future, we may also experience difficulties with quality control, component supply and shortages of qualified personnel, among other problems. These problems could result in delays in product availability, product quality issues, delays in our ability to reach our sales potential, delays in the development and launch of new products and increases in expenses. Any such delays, issues or increased expenses could adversely affect our business, financial condition and results of operations. In addition, rapid and significant growth will place a strain on our administrative and operational infrastructure, particularly as a newly public company. In order to manage our operations and growth, we will need to continue to improve our operational and management controls, hiring process, reporting and information technology systems and financial internal control procedures. If we do not effectively manage our growth, we may not be able to execute on our business plan, respond to competitive pressures, take advantage of market opportunities, reach our sales potential, satisfy customer requirements or maintain high-quality product offerings, which could have a material adverse effect on our business, financial condition and results of operations.</w:t>
      </w:r>
    </w:p>
    <w:p>
      <w:pPr>
        <w:spacing w:after="0" w:line="10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entirely on our currently marketed Vivistim Therapy. If we are unable to successfully market and sell Vivistim Therapy, our business prospects will be materially and adversely affected, and we may be unable to achieve revenue growth and to fund our operations.</w:t>
      </w:r>
    </w:p>
    <w:p>
      <w:pPr>
        <w:spacing w:after="0" w:line="9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To date, all of our revenue has been derived, and we expect it to continue to be derived, from sales of our Vivistim System. Our future financial success will depend entirely on our ability to effectively and profitably market and sell Vivistim Therapy. The commercial success of Vivistim Therapy and any of our future products we develop will depend on a number of factors, including the following:</w:t>
      </w:r>
    </w:p>
    <w:p>
      <w:pPr>
        <w:spacing w:after="0" w:line="108"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awareness and adoption of Vivistim Therapy, including by patients and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costs of supporting the growth and expansion of our commercial organization and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private payor coverage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acquisition costs of finished goods and components used in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additional suppliers and service providers;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research and development efforts;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costs of our current or future clinical and registries as well as costs associated with complying with regulatory requirements;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or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products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against us for intellectual property infringement or otherwise;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extraordinary external events, such as a recession;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expand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being a public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among physicians, hospitals and therapists; and</w:t>
      </w:r>
    </w:p>
    <w:p>
      <w:pPr>
        <w:spacing w:after="0" w:line="117"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non-U.S. regulatory authorities to conduct additional clinical trials for future or current indications.</w:t>
      </w:r>
    </w:p>
    <w:p>
      <w:pPr>
        <w:spacing w:after="0" w:line="162"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If we fail to successfully market and sell our products, we will not be able to achieve profitability, which will have a material adverse effect on our business, financial condition and results of operations.</w:t>
      </w:r>
    </w:p>
    <w:p>
      <w:pPr>
        <w:spacing w:after="0" w:line="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hire, train, and retain our direct sales force, increase our sales capabilities, or develop broad brand awareness in a cost-effective manner, our growth will be materially and adversely affected, and our business will suffer.</w:t>
      </w:r>
    </w:p>
    <w:p>
      <w:pPr>
        <w:spacing w:after="0" w:line="15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have a direct sales team with substantial applicable medical device and clinical experience, as well as sales management. In order to generate future growth, we must continue to add highly qualified personnel to our commercial organization, with a strategic mix of TMs and TDSs, to drive further awareness and penetration within healthcare providers that interact with stroke survivors. Identifying and recruiting qualified commercial personnel and training them on our product, applicable federal and state laws and regulations, and on our internal policies and procedures requires significant time, expense, and attention. Once hired, the training process is lengthy because it requires significant education for new TMs and TDSs to achieve the level of clinical competency with our products expected by physicians and therapists. Upon completion of the training, our TMs and TDSs typically require lead time in the field to grow their network of accounts and achieve the productivity levels we expect them to reach in any individual territory. Furthermore, the use of our products may involve limited, non-contractual support activities provided in connection with initial education and setup prior to or at the time of implantation. The Company does not have an ongoing obligation to provide programming, reprogramming, or customer or technical support after implantation, and any such activities, if performed, are incidental and not considered significant. Also, to the extent we hire personnel from our competitors, we may have to wait until applicable non-competition or non-solicitation provisions have expired before deploying such personnel in restricted territories or incur costs to relocate personnel outside of such territories, and we may be subject to future allegations that these new hires have been improperly solicited, or that they have divulged to us proprietary or other confidential information of their former employers. Our business may be harmed if our efforts to expand and train our sales force and any future efforts to engage in direct-to-patient programs and direct-to-consumer marketing do not generate a corresponding increase in revenue, and our higher fixed costs may slow our ability to reduce costs in the face of a sudden decline in demand for our products. Moreover, the members of our direct sales force are at-will employees. The loss of these personnel to competitors or otherwise could have a material adverse effect on our business, financial condition, and results of operations. If we are unable to attract, train and retain our direct sales force personnel or replace them with individuals of equivalent technical expertise and qualifications, if we are unable to successfully instill technical expertise in replacement personnel, or if our direct sales force personnel are unable to reach the productivity levels we expect on the timeline we expect for any reason, our revenue and results of operations could be materially and adversely affected.</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Vivistim Therapy depends upon attaining significant market acceptance of our products by hospitals, healthcare providers, therapists, patients, caregivers and payors.</w:t>
      </w:r>
    </w:p>
    <w:p>
      <w:pPr>
        <w:spacing w:after="0" w:line="159"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Our success depends, in part, on the acceptance of Vivistim Therapy as safe, effective and cost-effective. We cannot predict how quickly, if at all, hospitals, healthcare providers, therapists, patients, caregivers or payors will adopt Vivistim Therapy or, if adopted, how frequently Vivistim Therapy will be used. Vivistim Therapy and any future products we may develop or market may never gain broad market acceptance for some or all of our targeted indications. It is important to our success, future growth, and profitability that we are able to increase healthcare provider awareness of Vivistim Therapy and that hospitals, healthcare providers, therapists, patients, caregivers and payors believe that our products offer benefits over alternative treatment methods, and that they adopt our products. These parties may not adopt our products unless they are able to determine, based on experience, clinical data, medical society recommendations, and other analyses, that our products are safe, effective and cost-effective on a stand-alone basis and relative to competitors’ products. If physicians or payors do not find our body of published clinical evidence and data compelling or wish to wait for additional studies, they may choose not to use or provide coverage and reimbursement for or prescribe our product. Currently, there are a number of large third-party payers that have determined that our Vivistim Therapy is experimental or investigational and therefore do not cover it at this time. In addition, the long-term effects of our Vivistim Therapy beyond our current clinical trials are not yet known. Certain physicians, hospitals, therapists and payers may prefer to see longer-term safety and efficacy data than we have produced. Even if we are able to raise awareness, physicians and therapists may be slow in changing their medical treatment practices and may be hesitant to select our products for recommendation to their patients for a variety of reasons, including:</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reliability, safety, clinical or economic benefits;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third-party coverage or adequate reimbursement, particularly from private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our products and implantation procedures.</w:t>
      </w:r>
    </w:p>
    <w:p>
      <w:pPr>
        <w:spacing w:after="0" w:line="22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Stroke survivors interact with a diverse network of care providers, including stroke interventionalists, neurosurgeons, neurologists, physical medicine and rehabilitation physicians, occupational and physical therapists, stroke coordinators and nurses. Each of these providers can play a role in identifying and evaluating potential Vivistim Therapy candidates. We directly engage each of these stakeholders through our field-based commercial team, as well as through specialized events, summits, and conferences. As a result, our success depends, in large part, on effectively marketing Vivistim Therapy to these healthcare providers. We aim to educate these healthcare providers regarding the patient population that would benefit from Vivistim Therapy. Acceptance of Vivistim Therapy depends upon our education of healthcare providers as to the distinctive characteristics, clinical benefits, safety, durability and ease of use of Vivistim Therapy as compared to other therapy options and any future competitor VNS devices and upon our effective communication to healthcare providers of the proper use of Vivistim Therapy as well as our ability to provide effective and timely physician, therapist and patient support, including in connection with device education and addressing any technical, quality or other concerns. However, we cannot assure you that we will achieve broad market acceptance among these practitioners. Healthcare providers may be reluctant or unwilling to invest time to learn about the benefits of Vivistim Therapy, and to deviate from practices or therapy programs which they consider to be more established. If we are not able to effectively demonstrate that the use of Vivistim Therapy is beneficial in a broad range of patients, some healthcare providers may choose to utilize Vivistim Therapy on only a subset of their total eligible patient population or not at all, and adoption of our product will be limited and may not occur as rapidly as we anticipate or at all, which would have a material adverse effect on our business, financial condition and results of operations.</w:t>
      </w:r>
    </w:p>
    <w:p>
      <w:pPr>
        <w:spacing w:after="0" w:line="130"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Most of our customers are hospitals, which may require us to enter into contracts regarding our devices. This process can be lengthy and time-consuming and may require extensive negotiations and management time with an uncertain degree of success. If we do not receive access to hospital facilities via these contracting processes or otherwise, or if we are unable to secure contracts or tender successful bids, we may not achieve our sales and revenues goals, and our results of operations may be harmed. Furthermore, we may expend significant effort in these time-consuming processes and still may not obtain a purchase contract from such hospitals.</w:t>
      </w:r>
    </w:p>
    <w:p>
      <w:pPr>
        <w:spacing w:after="0" w:line="102"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In addition, certain characteristics and features of Vivistim Therapy may prevent widespread market adoption. For example, some patients have reported pain, discomfort, bruising, swelling and infection after implantation as well as device related issues, such as low or high impedance (a measure of the lead’s resistance to current), which have led to explant or revision requests. These and any similar future explants or revisions could deter potential candidates from pursuing treatment or prompt physicians to favor alternative therapies. Even if physicians recommend Vivistim Therapy to patients, patients may not adopt it for a variety of reasons, including because they do not want to or are unable to undergo the implantation procedure (which involves typical risks associated with such procedures, including infection), do not perceive our device as safe, effective or cost-effective, prefer any future competitive devices or therapies (including as a result of competitive patient marketing) or because Vivistim Therapy is not reimbursed by their health insurance provider.</w:t>
      </w:r>
    </w:p>
    <w:p>
      <w:pPr>
        <w:spacing w:after="0" w:line="124"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Also, screening patients for Vivistim Therapy requires a clinical assessment of a patient’s motor impairments, which is typically done based on the Fugl-Meyer Assessment of Upper Extremity (FMA-UE) score. The FMA-UE assessment can take about 30 minutes or more to complete, which can be longer than other clinical assessments. Follow-up assessments take about the same time. Healthcare providers that use other clinical assessments that are shorter may not want to learn how to use the FMA-UE scoring system or invest the time in a longer assessment process generally, which may impact adoption of Vivistim Therapy.</w:t>
      </w:r>
    </w:p>
    <w:p>
      <w:pPr>
        <w:spacing w:after="0" w:line="116"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Additionally, even if our products achieve market acceptance, they may not maintain that market acceptance over time if competing products, therapies or technologies are considered safer, more effective,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or may be subject to change for our Vivistim System, including any future products we commercialize, which could diminish our sales, increase our competition, or affect our ability to sell our currently marketed Vivistim Therapy and any future products profitably.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Our customers are generally reimbursed by third-party payors for the procedures that are required to implant our device. Because there is no separate reimbursement for supplies used in surgical procedures, including our device, the additional cost associated with the use of our products can affect the profit margin of the hospital where the procedure is performed. Some of our target customers may be unwilling to adopt our products in light of potential additional associated cost. In addition, customers that perform the procedure may be subject to reimbursement claim denials upon submission of the claim. These events, or any other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24"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10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medically necessary for the specific indication;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pacing w:after="0" w:line="11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Medicare, which is administered by the Centers for Medicare and Medicaid Services (CMS), does not currently have a national coverage determination or local coverage determinations applicable to our device. As a result, coverage determinations are made on a case-by-case basis for Medicare beneficiaries. Medicaid programs are funded by both federal and state governments, and coverage and reimbursement policies vary from state to state and from year to year. Effective July 1, 2023, the New York State Medicaid fee-for-service program covers FDA-cleared vagus nerve stimulator, or VNS, devices used for stroke therapy in conjunction with rehabilitation to recover function in hands and arms after an ischemic stroke. Most commercial payors currently consider Vivistim Therapy as experimental or investigational and require prior authorization.</w:t>
      </w:r>
    </w:p>
    <w:p>
      <w:pPr>
        <w:spacing w:after="0" w:line="12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Obtaining and maintaining coverage and reimbursement can be a time-consuming and expensive process. For example, payors typically require us to provide supporting scientific, clinical and cost-effectiveness data for the use of our products before providing coverage. We may not be able to provide data sufficient to satisfy third-party payors that procedures using our products should be covered and reimbursed, and even if we are, such data may be time-consuming and costly to obtain and the incremental revenue from the positive coverage decisions it generates (if any) may not be sufficient to recoup the expense associated with data collection. Payors also continually review new and existing technologies for possible coverage and can, without notice, deny or reverse coverage for new or existing products and procedures. While some payors currently cover and provide reimbursement for procedures using our currently cleared or approved products on a case-by-case basis, we can give no assurance that these third-party payors will continue to provide coverage and adequate reimbursement for the procedures using our products, or that additional third-party payors will provide coverage for our products in the future. If we are not successful in reversing any non-coverage policies, or if third-party payors that currently cover or reimburse procedures in which our products are used reverse or limit their coverage in the future, or if other third-party payors issue similar non-coverage policies, this could have a material adverse effect on our business.</w:t>
      </w:r>
    </w:p>
    <w:p>
      <w:pPr>
        <w:spacing w:after="0" w:line="11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Third-party payors are also increasingly examining the cost effectiveness of products, in addition to their safety and efficacy, when making coverage and payment decisions. Third-party payors have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It is uncertain whether our current products or any future products will be viewed as sufficiently cost effective by payors to warrant coverage and adequate reimbursement levels for procedures using such products in any given jurisdiction. For example, there can be no assurance that payors will find Vivistim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Therapy attractive from a cost/benefit perspective, or that they will deem our data on economic benefits of Vivistim Therapy sufficiently persuasive.</w:t>
      </w:r>
    </w:p>
    <w:p>
      <w:pPr>
        <w:spacing w:after="0" w:line="158"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High rates of coverage denials or prolonged, burdensome prior authorization processes by commercial and government payors may discourage physicians from recommending Vivistim Therapy to their patients. Certain of our customers have, from time to time, experienced coverage denials and extended prior authorization requirements for Vivistim Therapy, and there can be no assurance that payor behavior will improve or that such denials will not persist or increase in the future. If medical centers and physicians perceive that reimbursement is uncertain or routinely denied, they may be less willing to invest the time required to pursue appeals or recommend Vivistim Therapy to their patients, which could reduce utilization of Vivistim Therapy. Persistent denial trends could also influence hospital committees and practice groups to deprioritize Vivistim Therapy in their care protocols, further limiting adoption and adversely affecting our revenue, reputation and growth prospects.</w:t>
      </w:r>
    </w:p>
    <w:p>
      <w:pPr>
        <w:spacing w:after="0" w:line="108"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In addition, government payors, such as CMS, have increased their efforts to control the cost, utilization and delivery of healthcare services. CMS establishes Medicare payment levels for hospitals and physicians on an annual basis, which can increase or decrease payment to such entities. The Vivistim System is typically implanted in the hospital outpatient setting, and all items and services paid under the Medicare hospital outpatient prospective payment system, or OPPS, are assigned to payment groups called Ambulatory Payment Classifications, or APCs, which group together items and services that are similar clinically and in terms of resource use. Reimbursement for professional services performed by physicians are reported using CPT codes and based on a different payment methodology. Implantation of the Vivistim System falls under CPT Code 64568 (“Incision for implantation of a cranial nerve (e.g., vagus) neurostimulator electrode array and pulse generator”). From January 1, 2023 through December 31, 2025, CMS granted transitional pass-through payment status for the Vivistim System under HCPCS code C1827 (“Generator, neurostimulator (implantable), non-rechargeable, with implantable stimulation lead and external paired stimulation controller”) when used in combination with CPT code 64568. This status is granted by CMS to facilitate access to innovative devices that significantly improves clinical outcomes as compared to currently available treatment options. Effective January 1, 2026, CPT code 64568 is assigned to New Technology APC 1580. A service is not paid under a New Technology APC until sufficient claims data have been collected to allow CMS to assign the procedure to a clinical APC group that is appropriate in clinical and resource terms. CMS generally expects this to occur within two to three years. We cannot provide any assurances that CPT code 64568 will continue to be assigned to APC 1580 during this time, or that reimbursement amount associated with any subsequent assignment to a clinical APC group will be adequate to cover the costs associated with our device. Individual states may also enact legislation that impacts Medicaid payments to hospitals and physicians.</w:t>
      </w:r>
    </w:p>
    <w:p>
      <w:pPr>
        <w:spacing w:after="0" w:line="128"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marketability of our products may suffer if government and commercial third-party payors fail to provide adequate coverage and reimbursement. Even if favorable coverage and reimbursement status is attained, less favorable coverage policies and reimbursement rates may be implemented in the future.</w:t>
      </w:r>
    </w:p>
    <w:p>
      <w:pPr>
        <w:spacing w:after="0" w:line="10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third-party contract manufacturers and suppliers, some of which are single source, to produce and package all elements comprising our Vivistim System as well as certain implantation tools, and if these suppliers and manufacturers fail to supply our Vivistim System or its components or subcomponents in sufficient quantities or at all, it will have a material adverse effect on our business, financial condition, and results of operations.</w:t>
      </w:r>
    </w:p>
    <w:p>
      <w:pPr>
        <w:spacing w:after="0" w:line="18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utilize a small number of qualified medical device contract manufacturers and suppliers, some of which are single source, to produce and package all elements comprising our Vivistim System as well as certain implantation tools. In certain cases, these third parties also perform design engineering activities for specific components. We generally do not have long-term contracts with our suppliers, and our supply arrangements generally do not include minimum manufacturing or purchase obligations. For these arrangements, we primarily order products through the use of purchase orders, do not have any obligation to purchase any given quantity of products, and our suppliers generally have no obligation to sell to us or to manufacture for us any given quantity of our products or components of our systems. Certain supplier arrangements include non-cancelable purchase commitments and binding forecast obligations. For these arrangements, we primarily order products through the use of purchase orders that are generally non-cancelable once accepted by the respective supplier. Although we continue to fortify our supply chain by seeking additional sourcing channels, all of the critical components of the Vivistim System, including the IPG and lead, are supplied to us from single sources that are qualified medical device contract manufacturers and suppliers. Our lead is manufactured by Cirtec Medical. Our IPG is manufactured by Integer Holdings Corporation (Integer).</w:t>
      </w:r>
    </w:p>
    <w:p>
      <w:pPr>
        <w:spacing w:after="0" w:line="113"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entered into supply agreements with Integer pursuant to which Integer agreed to manufacture our IPG component for us. Our first supply agreement with Integer provides that we may order from Integer on a non-exclusive, purchase order basis with no minimum purchase requirements. The agreement includes, among other provisions, customary representations and warranties by the parties, ordering and payment and shipping terms, customary provisions with respect to the ownership of any intellectual property and customary confidentiality provisions. The agreement continues until termination by the parties. Either party may terminate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line="252" w:lineRule="auto"/>
        <w:rPr>
          <w:sz w:val="20"/>
          <w:szCs w:val="20"/>
          <w:color w:val="auto"/>
        </w:rPr>
      </w:pPr>
      <w:r>
        <w:rPr>
          <w:rFonts w:ascii="Times New Roman" w:cs="Times New Roman" w:eastAsia="Times New Roman" w:hAnsi="Times New Roman"/>
          <w:sz w:val="18"/>
          <w:szCs w:val="18"/>
          <w:color w:val="auto"/>
        </w:rPr>
        <w:t>agreement upon written notice in the event of a material breach that is not cured within 30 days of the other party’s written notice of such breach; upon bankruptcy, insolvency or reorganization that has not been dismissed within 30 days after commencement; or in the event that the other party commits a crime, intentionally imparts material information or misappropriates intellectual property. In addition, we may terminate the agreement if Integer fails to meet our specifications or is unable to manufacture products, or for our convenience if we are current in our payment obligations to Integer. To further support our anticipated growth and IPG supply needs, we also entered into a second supply agreement (the IPG Supply Agreement), effective September 24, 2024, with Greatbatch Ltd., a subsidiary of Integer. The IPG Supply Agreement contains, among other provisions, customary representations and warranties by the parties, ordering and payment and shipping terms, customary provisions with respect to the ownership of any intellectual property created during the term of the IPG Supply Agreement, certain indemnification rights in favor of both parties, limitations of liability and customary confidentiality provisions, and minimum purchase requirements. The minimum purchase requirements are expected to commence in 2028. Under the minimum purchase requirements, we are obligated to purchase a high double-digit fixed percentage of our IPG supply requirements from Integer and must purchase a minimum number of IPGs from Integer per year. The aggregate minimum purchase obligation for the initial five-year period is approximately $5.8 million. The IPG Supply Agreement has an initial five-year term commencing upon the first commercial shipment of product, and will automatically renew for one-year periods unless either party delivers a notice of non-renewal prior to the renewal date. Either party may terminate the IPG Supply Agreement upon written notice in the event of a material breach of the IPG Supply Agreement that is not cured within 60 days of the other party’s written notice of such breach, subject to certain conditions; or upon bankruptcy, insolvency or reorganization that has not been dismissed within 60 days after commencement. We may terminate the IPG Supply Agreement if Integer fails to adequately supply non-defective products, if the products are subject to repeating failures over time that fail to meet our specifications, or if Integer is unable to manufacture products for a specified period of time.</w:t>
      </w:r>
    </w:p>
    <w:p>
      <w:pPr>
        <w:spacing w:after="0" w:line="12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Where we rely on a single-source supplier, alternative second-source suppliers may not be readily available or qualifying them may take significant time and expense. The level of inventory we maintain for certain of our sole-sourced supplies may not be sufficient to support our customer demand for the length of time that may be required to qualify an alternative supplier should this become necessary. We seek to strategically maintain sufficient levels of inventory to help mitigate supply disruption, to accommodate varying demand mix and to achieve more efficient volume-based pricing on our components; however, we may not be accurate in our estimates which could result in insufficient inventory to meet demand or excess inventory and the risk of inventory obsolescence and expiration. If our estimates result in carrying insufficient levels of inventory to meet customer demand, this may lead to customer backorders due to a lack of manufacturing capacity or supply chain challenges, which could result in delays or inability to reach sales potential, cause reputational harm or otherwise have a material adverse effect on our business, financial condition and results of operations.</w:t>
      </w:r>
    </w:p>
    <w:p>
      <w:pPr>
        <w:spacing w:after="0" w:line="111"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Where these third parties perform design engineering work, we are additionally reliant on their design engineering capacities and proprietary know-how, and we may have reduced visibility and control over design decisions and related changes. This reliance can increase the time and cost to implement, validate and transfer design changes, complicate second-sourcing efforts, and heighten the risk of disputes over intellectual property ownership, licensing scope, and access to design files and documentation necessary to manufacture and support our device.</w:t>
      </w:r>
    </w:p>
    <w:p>
      <w:pPr>
        <w:spacing w:after="0" w:line="11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a third-party manufacturer and third-party suppliers also subjects us to other risks that could harm our business that we would not be subject to if we manufactured products ourselves, including:</w:t>
      </w:r>
    </w:p>
    <w:p>
      <w:pPr>
        <w:spacing w:after="0" w:line="116" w:lineRule="exact"/>
        <w:rPr>
          <w:sz w:val="20"/>
          <w:szCs w:val="20"/>
          <w:color w:val="auto"/>
        </w:rPr>
      </w:pPr>
    </w:p>
    <w:p>
      <w:pPr>
        <w:ind w:left="760" w:right="30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 major customer of many of our suppliers, and these suppliers may therefore give other customers’ needs higher priority than ours;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threaten or enforce their intellectual property rights against our suppliers, which may cause disruptions or delays in shipment, or may force our suppliers to cease conducting business with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especially new suppliers, may make errors in manufacturing that could negatively affect the efficacy or safety of Vivistim Therapy or cause delays in shipment or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locating and qualifying alternative suppliers;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capacity, technical capabilities and qualifications of our suppliers may not expand in line with our future volume requirements or support the manufacture of new products on our desired schedule, or at all;</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switching components or suppliers may require product redesign and possibly submission to FDA or other regulatory bodies, which could significantly impede or delay our commercial activities;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single-source suppliers may be unwilling or unable to supply components of our Vivistim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customers may use fair or unfair negotiation tactics or pressures to impede our use of the suppliers;</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fire, natural or man-made disaster or other catastrophe impacting one or more of our suppliers may affect their ability to deliver products to us in a timely manner or at all;</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may encounter financial or other business hardships unrelated to our demand, which could inhibit their ability to fulfill our orders and meet our requirements;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may not maintain the confidentiality of our confidential information;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and product costs than more vertically integrated companies.</w:t>
      </w:r>
    </w:p>
    <w:p>
      <w:pPr>
        <w:spacing w:after="0" w:line="22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Any of these factors could cause delays or suspension of commercialization and marketing, clinical trials, regulatory submissions or required approvals, cause us to incur higher costs, inability to meet customer demand, and product quality issues or recalls. Furthermore, if our contract manufacturers fail to deliver the required commercial quantities of finished products of an acceptable quality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we would lose potential revenue. Any difficulties in locating and hiring third-party manufacturers, or in the ability of third-party manufacturers to supply quantities of our products at the times and in the quantities we need, could have a material adverse effect on our business. It may take a significant amount of time and resources (including costs) to establish an alternative source of supply for our products and to have any such new source approved by the FDA. Given our reliance on certain single-source suppliers, we are especially susceptible to supply shortages because we do not have alternate suppliers currently available, which can result in increased costs and production delays and potentially adversely impact our ability to meet demand for our products in a timely manner or at all.</w:t>
      </w:r>
    </w:p>
    <w:p>
      <w:pPr>
        <w:spacing w:after="0" w:line="127"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Moreover, some third parties or their facilities are or may in the future be located in markets subject to political, social and economic risk, corruption, infrastructure problems, tariffs and natural or man-made disasters, in addition to country-specific intellectual property protection, privacy and data security and tax risks and the risk of nationalization and expropriation, given current legal and regulatory environments. Failure of third parties to meet their contractual, regulatory, and other obligations may have a material adverse effect on our business, financial condition and results of operations. Because we rely on some suppliers in countries outside of the United States, we are exposed to the possibility of product supply disruption and increased costs in the event of changes in the policies of the United States or the governments in the countries these suppliers are located, including changes in tariff policies, political or social unrest, or unstable economic conditions. Any of these matters could materially and adversely affect our business, financial condition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market opportunity has not been established with precision and may be smaller than we estimate, possibly materially.</w:t>
      </w:r>
    </w:p>
    <w:p>
      <w:pPr>
        <w:spacing w:after="0" w:line="22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estimate that there are more than 4 million chronic ischemic stroke survivors living with moderate to severe upper extremity impairment in the United States and that are within the current on-label indication for our Vivistim System. We believe that an initial market opportunity comprises approximately 1 million of those survivors, which equates to an initial market opportunity of over $30 billion based on the average selling price of the Vivistim System. This initial market represents the total overall revenue opportunity that we believe is available if we achieve 100% market share for Vivistim Therapy among these survivors, and is not a representation that we will achieve any such market share. The market share we achieve is subject to a number of assumptions, risks and uncertainties, including our ability to execute on our commercial strategy and the extent of adoption of Vivistim Therapy. Further, these estimates are based on a number of internal and third-party estimates which may prove to be inaccurate. The actual size of our addressable markets may be smaller than our estimates for a number of reasons. The Vivistim System is currently the first and only FDA-approved solution for chronic ischemic stroke survivors with moderate to severe upper extremity impairment. As such, we will have to expend significant resources to educate and promote awareness of this solution among patients, caregivers and healthcare providers. If we are not able to successfully drive adoption of our solution, we may not be able to access a significant part of this estimated market opportunity.</w:t>
      </w:r>
    </w:p>
    <w:p>
      <w:pPr>
        <w:spacing w:after="0" w:line="124" w:lineRule="exact"/>
        <w:rPr>
          <w:sz w:val="20"/>
          <w:szCs w:val="20"/>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Our Vivistim System implantation procedure falls under Category 1 CPT code. Medicare fee-for-service patients can typically access Vivistim Therapy when medically necessary, without prior authorization. Commercial insurance, Medicaid and Medicare Advantage generally require prior authorization. As such, commercial insurance coverage represents the largest gap in coverage and continues to evolve, and may never become widely available. Medicare reimbursement rates may also be reduced. The foregoing may slow or prevent broad adoption of our solution or require us to reduce our average selling prices to accommodate reduced reimbursement rates. We have determined our serviceable addressable market using an assumed average selling price for our Vivistim System. A decrease or increase in our assumed average selling price would change our serviceable addressable market.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firstLine="374"/>
        <w:spacing w:after="0" w:line="254" w:lineRule="auto"/>
        <w:rPr>
          <w:sz w:val="20"/>
          <w:szCs w:val="20"/>
          <w:color w:val="auto"/>
        </w:rPr>
      </w:pPr>
      <w:r>
        <w:rPr>
          <w:rFonts w:ascii="Times New Roman" w:cs="Times New Roman" w:eastAsia="Times New Roman" w:hAnsi="Times New Roman"/>
          <w:sz w:val="18"/>
          <w:szCs w:val="18"/>
          <w:color w:val="auto"/>
        </w:rPr>
        <w:t>Additionally, the market for our solution may be slow to develop as a result of physician concerns associated with Vivistim Therapy due to the limited long term clinical data, limited or challenges regarding commercial reimbursement, and limited network of referral sources that may take some time to develop, if they develop at all. In order to generate future growth, we are building out a dedicated group of field-based TMs and TDSs focused on developing our market, including driving awareness of Vivistim Therapy and its clinical benefits as well as supporting VNS-specific professional education, but our efforts to do so may not be successful. Moreover, our total market opportunity could decrease if preventive therapies, drugs or devices that broadly reduce stroke incidence (such as glucagon-like peptide agonists, or GLP-1 drugs, if proved to be effective for such purpose) are prescribed or utilized more widely or if stroke incidence generally decreases due to, among other reasons, the population in the United States becoming healthier or new drugs being developed.</w:t>
      </w:r>
    </w:p>
    <w:p>
      <w:pPr>
        <w:spacing w:after="0" w:line="124"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Any of the foregoing could cause our total addressable market and serviceable addressable market to be lower than we currently estimate. If our market does not continue to develop at the rate we expect, our business, financial condition, and results of operations could be materially and adversely affected.</w:t>
      </w:r>
    </w:p>
    <w:p>
      <w:pPr>
        <w:spacing w:after="0" w:line="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product recalls, or other complications or customer satisfaction issues associated with Vivistim Therapy, including regarding the finite IPG battery life, could limit its adoption.</w:t>
      </w:r>
    </w:p>
    <w:p>
      <w:pPr>
        <w:spacing w:after="0" w:line="159" w:lineRule="exact"/>
        <w:rPr>
          <w:sz w:val="20"/>
          <w:szCs w:val="20"/>
          <w:color w:val="auto"/>
        </w:rPr>
      </w:pPr>
    </w:p>
    <w:p>
      <w:pPr>
        <w:ind w:firstLine="374"/>
        <w:spacing w:after="0" w:line="277" w:lineRule="auto"/>
        <w:rPr>
          <w:sz w:val="20"/>
          <w:szCs w:val="20"/>
          <w:color w:val="auto"/>
        </w:rPr>
      </w:pPr>
      <w:r>
        <w:rPr>
          <w:rFonts w:ascii="Times New Roman" w:cs="Times New Roman" w:eastAsia="Times New Roman" w:hAnsi="Times New Roman"/>
          <w:sz w:val="17"/>
          <w:szCs w:val="17"/>
          <w:color w:val="auto"/>
        </w:rPr>
        <w:t>Risks of using our products include risks that are common to any surgical procedure. Adverse events that have been experienced in connection with our device in clinical trials and clinical practice include infection, pain and discomfort, migration of the implanted device, irritation, bruising, swelling and non-healing wounds. Certain of these procedure or device related adverse events have, in some cases, required device explantations or revisions; in some of these cases, patients have not been re-implanted. Complications or adverse events could result from improper implantation and lack of adequate physician experience or training with our products as well as other user errors, pre-existing patient conditions or anatomical factors and manufacturing defects.</w:t>
      </w:r>
    </w:p>
    <w:p>
      <w:pPr>
        <w:spacing w:after="0" w:line="10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In addition, since the IPG battery is indicated for approximately five years of service life under continuous use conditions, long-term use past five years have in the past, and may in the future, require one or more replacement procedures when the IPG battery reaches its end-of-life. Replacement of the IPG necessarily involves surgical intervention (such as explant or replacement) and is subject to the risk of additional adverse reactions, including infection, pain and discomfort, irritation, bruising, swelling, non-healing wounds and adverse reactions to general anesthesia. The prospect of having to eventually explant or replace our Vivistim System, which would involve additional surgery and its associated risks (which may be heightened at the more advanced age of any such explant or replacement procedure), may dissuade patients from using Vivistim Therapy in the first instance.</w:t>
      </w:r>
    </w:p>
    <w:p>
      <w:pPr>
        <w:spacing w:after="0" w:line="12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In addition to the adverse events described above, users have in the past experienced, and may in the future experience, issues with the SAPS interface and accessories and their interactions with the IPG, and we have received, and may in the future receive, complaints regarding these issues. These issues have included SAPS screen anomalies and connection errors between the SAPS user interface and the wireless transmitter, which are typically resolved by rebooting SAPS or replacing the respective laptop, and connection issues between the wireless transmitter and the IPG, which are typically resolved by reconnecting or repositioning the wireless transmitter. Our device manual includes detailed instructions regarding how to resolve these issues, and a team of field-based clinical engineers are available to provide remote and in-person support to clinicians and therapists. While these issues have not been material or presented significant risks or issues for our business to date, if any such issues become systemic, persist, or we are unable to remediate them promptly, or if they otherwise inconvenience or frustrate users, they could impair device performance, disrupt therapy, necessitate replacement procedures, dissuade patients and physicians from using Vivistim Therapy and damage our reputation. Customers may attribute these or similar issues to our products even if caused by reasons not directly related to our products, such as pre-existing conditions, complications associated with the surgical procedure or related anesthesia itself, implantation of the device too deep in the tissue, making a larger-than-necessary incision that results in device migration, movement in the body or other types of user error or patient anatomical features. Even if these types of events are not directly attributable to the devices, they could decrease acceptance of our products by our customers, including hospitals, physicians, therapists, patients or caregivers, and result in a material adverse effect on our business, financial condition, and results of operations. Our reputation among our current or potential customers and referral sources, including but not limited to, stroke interventionalists, neurosurgeons, neurologists, physical medicine and rehabilitation physicians, occupational and physical therapists, stroke coordinators and nurses could also be materially and adversely affected by safety or customer satisfaction issues involving us or our products. For example, our customer service and clinical representatives may be unable to, or be perceived to be unable to, provide technical and customer service support effectively and in a timely manner or at all. These or other customer satisfaction issues, in addition to any product recalls or other safety or efficacy issues, could materially and adversely affect our reputation and our ability to establish or maintain broad adoption of our products, which would harm our future prospects and have a material adverse effect on our business, financial condition, and results of operations. Additionally, any unfavorable publicity or news coverage regarding our Vivistim System, whether or not accurate, may dissuade patients from using our Vivistim System.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Screening procedures designed to identify patients who are contraindicated for use of Vivistim Therapy may be inconsistently or incorrectly applied by healthcare providers or may otherwise fail to identify individuals who should not have been eligible for Vivistim Therapy, resulting in customer dissatisfaction by such patients. Also, hospitals and physicians may not prescribe our products due to potential interference or complications with other medical procedures. For example, because our products include implantation of certain medical-grade metals, our labeling our Vivistim System is designated as MR Conditional and includes specific considerations for procedures using magnetic resonance imaging, or MRI. Any of these events could materially and adversely affect our ability to commercialize our products and to compete with other products in stroke recovery.</w:t>
      </w:r>
    </w:p>
    <w:p>
      <w:pPr>
        <w:spacing w:after="0" w:line="11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technological change and significantly affected by new product introductions and market activities of other industry participants.</w:t>
      </w:r>
    </w:p>
    <w:p>
      <w:pPr>
        <w:spacing w:after="0" w:line="15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We operate in a competitive industry that is subject to technological change and significantly affected by new product introductions and market activities of other industry participants. For example, industry participants include medical device manufacturers and robotics companies, including a significant number of companies focused on stroke prevention and acute stroke care. To the extent these companies decide to focus on longer term stroke care, particularly in the chronic phase, we may face increased competition. Many of these companies have longer, more established operating histories, and significantly greater name recognition and financial, technical, marketing, sales, distribution and other resources. In addition, certain companies have several competitive advantages, including significant scale and established relationships with healthcare providers and third-party payors. Irrespective of their current focus, we also compete with these companies for personnel, including qualified personnel that are necessary to grow our business, including TMs and TDSs.</w:t>
      </w:r>
    </w:p>
    <w:p>
      <w:pPr>
        <w:spacing w:after="0" w:line="11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Competitors may be able to offer products similar or superior to ours, including products that may, or may be perceived to, have improved features, such as smaller form factors, improved ease of use, longer battery life or rechargeable battery, aesthetics, reliability, safety and effectiveness; have improved reimbursement; be better supported by clinical evidence; more widely recognized and adopted by healthcare providers and patients; or be more cost-efficient. For example, competitors may utilize existing or newly developed products to enter the VNS market in the future, which would increase our competition and could materially and adversely affect demand for Vivistim Therapy. Increased competition may result in price reductions, reduced gross margins and loss of market share. To the extent we expand internationally, we will face additional competition in geographies outside the United States. In addition, we face competition from pharmaceutical companies that produce drugs which aim to aid in stroke recovery, and other companies that produce other devices or therapies that aim to assist in stroke recovery. Further, if medical research were to lead to the discovery of alternative therapies or technologies that address chronic stroke impairments in a way that is or is perceived to be more accurate, reliable, cost-effective, or otherwise improved relative to Vivistim Therapy, for example through alternative monitoring or testing technologies, medication, or therapies, the demand for our products could decrease significantly. For example, some of our patients have experienced pain and discomfort associated with the surgical implantation of our product, and some prospective patients have been reluctant to undergo surgery; if competitors develop or commercialize minimally invasive or non-surgical alternatives that avoid implantation, patients and providers may prefer those options over Vivistim Therapy, which could further reduce demand for our products. There can be no assurance that we will be able to compete successfully against our current or future competitors, or that competitive pressures will not have a material adverse effect on our business, financial condition and results of operations.</w:t>
      </w:r>
    </w:p>
    <w:p>
      <w:pPr>
        <w:spacing w:after="0" w:line="12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would decrease, which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rising prices or limited availability of raw materials continues to persist, our business and results of operations may be adversely affected.</w:t>
      </w:r>
    </w:p>
    <w:p>
      <w:pPr>
        <w:spacing w:after="0" w:line="229"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Volatility in raw material prices and availability can occur due to numerous factors beyond our control, including general, domestic, and international economic conditions, labor costs, production levels, competition, consumer demand, import duties, tariffs and taxes, inflation and currency exchange rates. This volatility can significantly affect the availability and cost of raw materials that our suppliers purchase and are ultimately used in our systems, and may therefore have a material adverse effect on our business, financial condition and results of operations.</w:t>
      </w:r>
    </w:p>
    <w:p>
      <w:pPr>
        <w:spacing w:after="0" w:line="9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In addition, the current U.S. administration has expressed strong concerns about imports from countries that it perceives as engaging in unfair trade practices, and has imposed tariffs or other restrictions on products, components or raw materials sourced from those countries. The legal basis for some of these tariffs have been challenged, and recent judicial decisions, including from the U.S. Supreme Court, have invalidated or called into question certain tariff measures. However, other tariffs remain in place, new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20"/>
        <w:spacing w:after="0" w:line="253" w:lineRule="auto"/>
        <w:rPr>
          <w:sz w:val="20"/>
          <w:szCs w:val="20"/>
          <w:color w:val="auto"/>
        </w:rPr>
      </w:pPr>
      <w:r>
        <w:rPr>
          <w:rFonts w:ascii="Times New Roman" w:cs="Times New Roman" w:eastAsia="Times New Roman" w:hAnsi="Times New Roman"/>
          <w:sz w:val="18"/>
          <w:szCs w:val="18"/>
          <w:color w:val="auto"/>
        </w:rPr>
        <w:t>additional tariffs have been and may continue to be imposed, and the overall trade policy environment remains fluid and subject to rapid change. Moreover, changes in U.S. trade policy have triggered and may in the future trigger retaliatory actions, countermeasures, or trade restrictions by affected countries. For example, there have been and continue to be further indications that there may be an increase in tariff rates on various types of goods imported from Canada, Mexico, South America and Europe that could apply to the raw materials we require in our products, including certain types of metal powders used for coating our products as well as entire components of our Vivistim System. In the event that any such possible tariff increases remain in place or become enacted in the future, they could significantly increase the cost of materials and components that our suppliers import and use in our systems, which in turn could increase our supply costs. At this time, there can be no assurance that we will be able to pass any portion of such increases on to customers. We currently do not hedge against our exposure to changing raw material prices and are not aware as to whether our suppliers hedge. As a result, fluctuations in raw material prices could have a material adverse effect on our business, results of operations and financial condition. Supply shortages or changes in availability for any particular type of raw material can delay supplier volume and production capabilities or cause increases in the cost of manufacturing our products. We may be materially and adversely affected by changes in availability and pricing of raw materials, which could materially and adversely affect our results of operations.</w:t>
      </w:r>
    </w:p>
    <w:p>
      <w:pPr>
        <w:spacing w:after="0" w:line="11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15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We expect our operating expenses to continue to increase for the foreseeable future as we continue to make significant investments in our commercial organization; seek to expand our marketing programs to help facilitate further awareness and adoption among healthcare providers and patients; seek payor reimbursement; continue to make investments in research and development, regulatory affairs, and clinical trials to develop future generations of products based on Vivistim Therapy, support regulatory submissions, and demonstrate the clinical efficacy of our products; and as we continue to scale the business infrastructure and manufacturing capacity. Moreover, we expect to incur additional expenses associated with operating as a public company, including legal, accounting, insurance, exchange listing and SEC compliance, investor relations, and other expenses. In addition, we may in the future seek to acquire or invest in, additional businesses, products, or technologies that we believe could complement or expand our portfolio, enhance our technical capabilities, or otherwise offer growth opportunities.</w:t>
      </w:r>
    </w:p>
    <w:p>
      <w:pPr>
        <w:spacing w:after="0" w:line="11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of March 31, 2026, we had $55.7 million in cash and cash equivalents. After giving effect to the net proceeds from our IPO, we believe that our cash and cash equivalents will be sufficient to fund our planned operating expenses for at least the next 12 months from the date of this Quarterly Report.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16"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9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11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awareness and adoption of our Vivistim System, including by our customers and their patients, and the extent to which we are able to successfully educate patients and customers about our current and future indications, and the benefits of our Vivistim Therapy in treating such conditions;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sales, marketing, and distribution capabilities in a timely and cost efficient manner,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adoption and continued acceptance of private payor coverage of Vivistim Therapy;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complementary or alternative technologies or therapies, including from other VNS neurostimulation device manufacturers or other stroke rehabilitation alternatives;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our research and development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meaningful clinical benefits for our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sales, scientific, and clinical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extraordinary external events, such as a recession;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or post-approval studies for our products or competing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against us for intellectual property infringement or otherwise;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and undertake initiatives to support our operations as a public company.</w:t>
      </w:r>
    </w:p>
    <w:p>
      <w:pPr>
        <w:spacing w:after="0" w:line="225"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To the extent that we need additional capital to continue to fund our operations, we intend to obtain such capital through public or private equity offerings or debt financings, credit or loan facilities, or a combination of one or more of these funding sources.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In the case of an insolvency, debt holders would be repaid before holders of our equity securities receive any distribution of our corporate assets. Any debt financing or additional equity that we raise may also contain terms that are not favorable to us or our stockholders. If we raise additional funds through licensing or collaboration arrangements with third parties, we may have to relinquish valuable rights to our current or future product candidates, or grant licenses on terms that are not favorable to us. We may also seek additional financing opportunistically. We may be unable to raise additional funds on favorable terms, or at all.</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Volatility in the capital markets and general economic conditions may be a significant obstacle to raising the required funds. Our ability to raise additional funds may be adversely impacted by potential worsening global economic conditions and the disruptions to, and volatility in, the credit and financial markets in the United States and worldwide resulting from factors that include but are not limited to, tariffs, trade and socioeconomic tensions, inflation, the conflict between Russia and Ukraine and in the Middle East,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sufficient capital on acceptable terms, or at all, our ability to finance our planned operations and support business growth, our business, financial condition and results of operations will be materially and adversely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evidence and experience regarding the safety and efficacy of Vivistim Therapy.</w:t>
      </w:r>
    </w:p>
    <w:p>
      <w:pPr>
        <w:spacing w:after="0" w:line="22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Because Vivistim Therapy is relatively new in the treatment of upper extremity impairment for chronic stroke survivors, we have performed clinical trials only with limited patient populations relevant to our FDA-approved indication. The trials conducted to date have involved relatively small sample sizes, which may limit the statistical power of the findings and the precision of estimated treatment effects. For example, the largest population we studied was 108 participants in our pivotal REHAB trial. As a result, there is uncertainty as to whether the observed safety, efficacy and other outcomes will be applicable across broader patient populations and other, different sub-groups, including for variations in age, sex, race and ethnicity. The effects of using Vivistim Therapy in a large number of patients have not been studied extensively or over a long-term period, and the results of short-term clinical use of such products do not necessarily predict long-term clinical benefits or reveal long-term adverse effects. While we have one year efficacy data from our pivotal REHAB trial and three year efficacy data from our pilot trial, these results were based on a small number of participants of 74 and 14, respectively. Moreover, clinical benefits may not persist in various circumstances, including if the patient discontinues or pauses occupational or physical therapy, does not otherwise adhere to the prescribed treatment regimen, or experiences an intervening medical or functional setback, and we have not studied the durability of effect in these scenarios.</w:t>
      </w:r>
    </w:p>
    <w:p>
      <w:pPr>
        <w:spacing w:after="0" w:line="122"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After patients complete their initial in-clinic therapy protocol, they are expected to continue Vivistim Therapy at home with functional movements for at least 90 days. At-home Vivistim Therapy sessions last thirty minutes and follow the same principles as the in-clinic therapy. Patients who do not use the device as directed, such as not turning the device on during such sessions, or who fail to engage in the recommended task-specific therapy with the appropriate frequency or at all, may experience limited or no improvement from the completion of the in-clinic therapy, may be dissatisfied with their outcomes, and may attribute such poor results to Vivistim Therapy. We have no clinical data that indicates whether functional gains from the in-clinic therapy would be reversed if patients do not complete the home therapy sessions properly or sufficiently. As such, it is possible that patient noncompliance could lead to reversal of the functional gains during in-clinic therapy. Negative patient experiences – whether due to misuse, noncompliance, or unrealistic expectations – could reduce physician and patient acceptance, harm our reputation, and adversely affect demand.</w:t>
      </w:r>
    </w:p>
    <w:p>
      <w:pPr>
        <w:spacing w:after="0" w:line="124"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In addition, the clinical outcomes supporting Vivistim Therapy have primarily been evaluated using the FMA-UE and the Wolf Motor Function Test (WMFT). Clinicians and therapists who rely on different outcome measures or standards may view our trial results as less relevant or may not accept these endpoints, and patients implanted with our device who are treated in settings that emphasize alternative scoring systems may not experience similar levels of observed benefits. Variability in accepted assessment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220"/>
        <w:spacing w:after="0" w:line="282" w:lineRule="auto"/>
        <w:rPr>
          <w:sz w:val="20"/>
          <w:szCs w:val="20"/>
          <w:color w:val="auto"/>
        </w:rPr>
      </w:pPr>
      <w:r>
        <w:rPr>
          <w:rFonts w:ascii="Times New Roman" w:cs="Times New Roman" w:eastAsia="Times New Roman" w:hAnsi="Times New Roman"/>
          <w:sz w:val="18"/>
          <w:szCs w:val="18"/>
          <w:color w:val="auto"/>
        </w:rPr>
        <w:t>methodologies among physicians and therapists could reduce the perceived effectiveness of, and limit adoption of Vivistim Therapy, which could have a material adverse effect on our business, financial condition and results of operations.</w:t>
      </w:r>
    </w:p>
    <w:p>
      <w:pPr>
        <w:spacing w:after="0" w:line="9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results of preclinical trials and clinical trials of our product conducted to date and ongoing or future trials of our current or future products may not be predictive of the results of later clinical trials, and interim results of a clinical trial do not necessarily predict final results, because they may include assumptions, calculations and conclusions that may prove to be inaccurate and because we may not have received or had the opportunity to fully and carefully evaluate all data. Data and results from our clinical trials do not ensure that we will achieve similar results in future clinical trials in other patient populations, indications or in the commercial use of our products. In addition, preclinical and clinical data are often susceptible to various interpretations and analyses, and many companies that have believed their products performed satisfactorily in preclinical trials and earlier clinical trials have nonetheless failed to replicate results in later clinical trials and subsequently failed to obtain marketing approval or commercial acceptance. Products in later stages of clinical trials may fail to show the desired safety and efficacy despite having progressed through non-clinical trials and earlier clinical trials. We incur substantial expenses for, and devote significant time to, clinical trials but cannot be certain that the trials will continue to support positive commercial payor reimbursement coverage or result in commercial revenue. Failure can occur at any stage of clinical testing. Our clinical trials may produce negative or inconclusive results, and we may decide, or regulators may require us, to conduct additional clinical and non-clinical testing in addition to those we have planned.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22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profitability, and cash flow, may vary significantly in the future, and period-to-period comparisons of our results of operations may not be meaningful. Accordingly, the results of any one quarter or other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Factors that may cause fluctuations in our quarterly and annual results include, without limitation:</w:t>
      </w:r>
    </w:p>
    <w:p>
      <w:pPr>
        <w:spacing w:after="0" w:line="11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 from period to period;</w:t>
      </w:r>
    </w:p>
    <w:p>
      <w:pPr>
        <w:spacing w:after="0" w:line="117"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TMs and TDSs become effective, and the cost and level of investment therein;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or clearances for future products;</w:t>
      </w:r>
    </w:p>
    <w:p>
      <w:pPr>
        <w:spacing w:after="0" w:line="117"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the procedures using our products and potential future products that compete with our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current or future products or any future products we develop or competing products;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products, which may change from time to time;</w:t>
      </w:r>
    </w:p>
    <w:p>
      <w:pPr>
        <w:spacing w:after="0" w:line="53"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orders or medical procedures, the number of available selling days in a particular period, which can be impacted by a number of factors, such as holidays or days of severe inclement weather in a particular geography, the mix of products sold, and the geographic mix of where products are sold;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adequacy of supply chain to meet demand;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outbreaks of disease or public health crises;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nature of any future acquisitions or strategic partnerships;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Because our quarterly and annual results may fluctuate, period-to-period comparisons may not be the best indication of the underlying results of our business and should only be relied upon as one factor in determining how our business is performing.</w:t>
      </w:r>
    </w:p>
    <w:p>
      <w:pPr>
        <w:spacing w:after="0" w:line="94"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 addition, this variability and unpredictability could result in our failing to meet the expectations of industry or financial analysts or investors for any period. If our revenue or results of operations fall below the expectations of analysts or investors or below any forecasts we may provide to the market, it may result in a decrease in the price of our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are unsuccessful or significantly delayed, or if we do not complete our clinical trials, our business may be materially and adversely affected.</w:t>
      </w:r>
    </w:p>
    <w:p>
      <w:pPr>
        <w:spacing w:after="0" w:line="15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are currently engaged in ongoing clinical trials of Vivistim Therapy and we may pursue other clinical trials in the future. Clinical trials can be delayed for a variety of reasons, including delays in obtaining regulatory authorization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 or lead to more positive reimbursement coverage decisions from commercial payors.</w:t>
      </w:r>
    </w:p>
    <w:p>
      <w:pPr>
        <w:spacing w:after="0" w:line="120"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clinical trials may be prevented, delayed, or halted, or the integrity of data collected may be compromised, for numerous reasons. We may experience delays in our ongoing clinical trials for a number of reasons, which could adversely affect the costs, timing, or successful completion of our clinical trials, including new indications for our existing product, including:</w:t>
      </w:r>
    </w:p>
    <w:p>
      <w:pPr>
        <w:spacing w:after="0" w:line="95" w:lineRule="exact"/>
        <w:rPr>
          <w:sz w:val="20"/>
          <w:szCs w:val="20"/>
          <w:color w:val="auto"/>
        </w:rPr>
      </w:pPr>
    </w:p>
    <w:p>
      <w:pPr>
        <w:ind w:left="760" w:right="4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(IDE) application to FDA, which must become effective prior to commencing certain human clinical trials of medical devices, and FDA may reject our IDE application and notify us that we may not begin clinical trials;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conduct of our clinical trials;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or other reviewing bodies may not authorize us or our investigators to commence a clinical trial, or to conduct or continue a clinical trial at a prospective or specific trial site;</w:t>
      </w:r>
    </w:p>
    <w:p>
      <w:pPr>
        <w:spacing w:after="0" w:line="53"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our clinical trials may be slower than we anticipate, or we may experience high screen failure rates in our clinical trials, and the number of clinical trials being conducted at any given time may be high and result in fewer available patients for any given clinical trial, or patients may drop out of these clinical trials at a higher rate than we anticipate, each resulting in significant delays;</w:t>
      </w:r>
    </w:p>
    <w:p>
      <w:pPr>
        <w:spacing w:after="0" w:line="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 or may fail to comply with our clinical trial, consent or screening protocols;</w:t>
      </w:r>
    </w:p>
    <w:p>
      <w:pPr>
        <w:spacing w:after="0" w:line="6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produce negative or inconclusive results, and we may decide, or regulators may require us, to conduct additional clinical or preclinical testing which may be expensive and time-consuming;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not meet the level of statistical significance required by the FDA, other regulatory authorities,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the product is not sufficiently safe for investigational use in humans;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interpret data from preclinical testing and clinical trials in different ways than we do;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or failure in obtaining approval of our clinical trial protocols from the FDA or other regulatory authorities;</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regulatory authorities for re-examination;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our or our suppliers’ manufacturing processes or facilities unsatisfactory;</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our clinical protocol or may drop out of a clinical trial;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finding patients to enroll in our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regulators, may suspend or terminate our clinical trials because the participating patients are being exposed to unacceptable health risks;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ind w:left="760"/>
        <w:spacing w:after="0" w:line="282" w:lineRule="auto"/>
        <w:rPr>
          <w:sz w:val="20"/>
          <w:szCs w:val="20"/>
          <w:color w:val="auto"/>
        </w:rPr>
      </w:pPr>
      <w:r>
        <w:rPr>
          <w:rFonts w:ascii="Times New Roman" w:cs="Times New Roman" w:eastAsia="Times New Roman" w:hAnsi="Times New Roman"/>
          <w:sz w:val="18"/>
          <w:szCs w:val="18"/>
          <w:color w:val="auto"/>
        </w:rPr>
        <w:t>of devices or other materials necessary to conduct clinical trials may be insufficient, inadequate, or not available at an acceptable cost, or we may experience interruptions in supply;</w:t>
      </w:r>
    </w:p>
    <w:p>
      <w:pPr>
        <w:spacing w:after="0" w:line="54"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FDA or applicable foreign regulatory agencies may change in a manner rendering our clinical data insufficient for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94"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 treatment procedures, monitoring or follow-up to assess the safety and efficacy of a product, or they may be persuaded to participate in contemporaneous clinical trials of a competitor’s product.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07"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we engage outside parties to perform services related to certain of our clinical trials. If these third parties do not successfully carry out their contractual duties or meet expected deadlines, we may not be able to obtain regulatory approval for or commercialize our product candidates or obtain positive commercial reimbursement coverage for our products.</w:t>
      </w:r>
    </w:p>
    <w:p>
      <w:pPr>
        <w:spacing w:after="0" w:line="10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our devices produced under Quality Systems Regulations (the QSR) requirements and other regulations. From time to time, we engage consultants to help design, monitor and analyze the results of certain of our clinical trials, and we may have limited influence over their actual performance. The consultants we engage interact with clinical investigators to enroll patients in our clinical trials. We depend on these consultants and clinical investigators to conduct clinical trials and monitor and analyze data from these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trials or trials may be extended, delayed or terminated or may otherwise prove to be unsuccessful, and we may have to conduct additional trials, which would significantly increase our costs.</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in part on our ability to innovate and enhance our Vivistim System, expand our approved indications and develop and commercialize additional products in a timely manner. If we fail to identify, acquire, or develop other products, we may be unable to grow our business.</w:t>
      </w:r>
    </w:p>
    <w:p>
      <w:pPr>
        <w:spacing w:after="0" w:line="15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market for Vivistim Therapy is highly competitive, dynamic, and marked by rapid and substantial technological development and product innovation. New entrants or existing competitors could attempt to develop products that compete directly with ours. Demand for Vivistim Therapy and future related products could be diminished by equivalent or superior products and technologies offered by competitors. If we are unable to innovate successfully, our products could become obsolete, and our revenue would decline as our customers purchase our competitors’ products. Developing products is expensive and time-consuming and could divert management’s attention away from our core business. The success of any new product offering or product enhancements to our solution will depend on several factors, including our ability to:</w:t>
      </w:r>
    </w:p>
    <w:p>
      <w:pPr>
        <w:spacing w:after="0" w:line="10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commercial team;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 sufficient resources to acquire or discover additional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competitive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third-parties and protect our own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or new indications with data from preclinical trials and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the necessary regulatory clearances or approvals for expanded indications, new products, or product modifications;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FDA-compliant with marketing of new devices or modified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and effective customer and technical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new products of an acceptable quality, in commercial quantities at an acceptable cost;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physicians implanting and patients using of our products.</w:t>
      </w:r>
    </w:p>
    <w:p>
      <w:pPr>
        <w:spacing w:after="0" w:line="225"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would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120"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potential products or indications that ultimately prove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succeed, we must continue to recruit, retain, manage, and motivate qualified executives as we build out the management team, and we face significant competition for experienced personnel. We are highly dependent on executive officers, other members of senior management, as well as on our sales personnel, which includes TMs and TDSs.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medical device and neurostimulation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24"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Many of the other medical device, life science, and 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our business performance declines, we may be unable to offer competitive compensation packages, which could make it difficult to retain our current sales personnel. Additionally, if our competitors increase the compensation offered to their sales personnel, we may be required to increase our own compensation levels, which could increase our operating expenses and negatively impact our profitability. If we fail to increase our own compensation levels to match that of competitors, we may be unable to attract or retain our existing TMs and TDSs, or to attract new TMs or TDSs, which would prevent us from expanding our business and generating sales. If we are unable to continue to attract and retain high-quality sales personnel, the rate and success at which we can discover, develop, and commercialize our current and future products will be limited and the potential for successfully growing our business will be materially and adversely affected.</w:t>
      </w:r>
    </w:p>
    <w:p>
      <w:pPr>
        <w:spacing w:after="0" w:line="127"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share awards they receive in connection with their employment. If the perceived value of our share awards declines, it may harm our ability to recruit and retain highly skilled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100"/>
        <w:spacing w:after="0" w:line="261" w:lineRule="auto"/>
        <w:rPr>
          <w:sz w:val="20"/>
          <w:szCs w:val="20"/>
          <w:color w:val="auto"/>
        </w:rPr>
      </w:pPr>
      <w:r>
        <w:rPr>
          <w:rFonts w:ascii="Times New Roman" w:cs="Times New Roman" w:eastAsia="Times New Roman" w:hAnsi="Times New Roman"/>
          <w:sz w:val="18"/>
          <w:szCs w:val="18"/>
          <w:color w:val="auto"/>
        </w:rPr>
        <w:t>employees. Many of our employees have become or will soon become vested in a substantial amount of our common stock or a number of common stock underlying options. Our employees may be more likely to leave our company if the common stock they own has significantly depreciated in value relative to the original purchase prices of the common stock, or if the exercise prices of the options that they hold are significantly above the market price of our common stock.</w:t>
      </w:r>
    </w:p>
    <w:p>
      <w:pPr>
        <w:spacing w:after="0" w:line="108"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Vivistim System. The expense and potential unavailability of insurance coverage for liabilities resulting from our Vivistim System could harm us and our ability to sell our Vivistim System.</w:t>
      </w:r>
    </w:p>
    <w:p>
      <w:pPr>
        <w:spacing w:after="0" w:line="175"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products. For example, we may be sued if our products cause or are perceived to cause injury or are found to be otherwise unsuitable.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physicians to implant our Vivistim System in patients. If these physicians are not properly trained, do not appropriately screen out patients who are contraindicated or otherwise not well-suited for an implant procedure or general anesthesia,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111"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08"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market and sell our products.</w:t>
      </w:r>
    </w:p>
    <w:p>
      <w:pPr>
        <w:spacing w:after="0" w:line="225"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Although we carry product liability insurance,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1"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9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and security agreement places restrictions on our operations and financial covenants and place restrictions on our operating and financial flexibility. If we raise additional capital through debt financing, the terms of any new debt could further restrict our ability to operate our business.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December 29, 2023, we entered into a loan and security agreement (the Loan and Security Agreement) with Horizon Technology Finance Corporation as lender and collateral agent.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available at various dates (the Commitments). The Company’s ability to draw additional loans under the Loan and Security Agreement expired on December 31, 2025. The Loan and Security Agreement matures on January 1, 2029. As of March 31, 2026, there was $7.5 million outstanding under the Loan and Security Agreement, representing the full available aggregate principal amount under the Loan and Security Agreement, and no additional tranches are available to draw down under the Loan and Security Agreement in the future.</w:t>
      </w:r>
    </w:p>
    <w:p>
      <w:pPr>
        <w:spacing w:after="0" w:line="124"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Borrowings under the Loan and Security Agreement bear interest at an annual rate equal to the greater of (i) The Wall Street Journal (or any successor thereto) prime rate (subject to a floor of 8.50%) plus 3.75%, and (ii) 12.25%. Amounts outstanding under the Loan and Security Agreement are secured by substantially all of our assets, excluding intellectual property. We must make interest payments under the Loan and Security Agreement, which have diverted and will continue to divert resources from other activities. The Loan and Security Agreement includes customary affirmative and negative covenants and events of default. The covenants related to the Loan and Security Agreement, as well as any future financing agreements into which we may enter, may restrict our ability to finance our operations and engage in, expand or otherwise pursue our business activities and strategies.</w:t>
      </w:r>
    </w:p>
    <w:p>
      <w:pPr>
        <w:spacing w:after="0" w:line="10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While we have not previously breached and are not currently in breach of these or any other covenants contained in the Loan and Security Agreement, there can be no guarantee that we will not breach these covenants or any covenants under any other debt arrangements in the future. Our ability to comply with these covenants may be affected by events beyond our control, and future breaches of any of these covenants could result in a default under the Loan and Security Agreement. If not waived, future defaults could cause all of the outstanding indebtedness under the Loan and Security Agreement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12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If we default under the Loan and Security Agreement, Horizon will be able to declare all obligations immediately due and payable and take control of our pledged assets, potentially requiring us to renegotiate our agreement on terms less favorable to us or to immediately cease operations. The lenders could declare a default under the Loan and Security Agreement upon the occurrence of specific events such as our failure to pay or our failure to comply with specified covenants, thereby requiring us to repay the loan immediately. Any declaration by the lenders of an event of default could significantly harm our business and prospects and could cause the price of our common shares to decline.</w:t>
      </w:r>
    </w:p>
    <w:p>
      <w:pPr>
        <w:spacing w:after="0" w:line="116"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w:t>
      </w:r>
    </w:p>
    <w:p>
      <w:pPr>
        <w:spacing w:after="0" w:line="108"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10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organizations could have a material adverse effect on our business, financial condition and results of operations.</w:t>
      </w:r>
    </w:p>
    <w:p>
      <w:pPr>
        <w:spacing w:after="0" w:line="159"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In an effort to reduce costs, many hospitals and ambulatory surgery centers (ASCs) in the United States have become members of group purchasing organizations (GPOs) and integrated delivery networks (IDNs). GPOs and IDNs negotiate pricing arrangements with medical device companies and distributors and then offer these negotiated prices to affiliated hospitals, ASCs and other members.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1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Accordingly, even if we secure a contract with a GPO or an IDN, we nonetheless need to negotiate contracts or purchase orders with individual GPO or IDN members, which can further increase the length of our sales cycle, increase sales costs and means that our sales success is uncertain even if we contract with a GPO or IDN. Furthermore, the members of such groups may choose to purchase alternative products due to the price or quality offered by other companies, which could result in a decline in our revenue.</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providers fail to protect confidential information and/or experience data security incidents, there may be damage to our brand and reputation, material financial penalties, and legal liability, which could materially and adversely affect our business, results of operations and financial condition.</w:t>
      </w:r>
    </w:p>
    <w:p>
      <w:pPr>
        <w:spacing w:after="0" w:line="175" w:lineRule="exact"/>
        <w:rPr>
          <w:sz w:val="20"/>
          <w:szCs w:val="20"/>
          <w:color w:val="auto"/>
        </w:rPr>
      </w:pPr>
    </w:p>
    <w:p>
      <w:pPr>
        <w:ind w:right="220" w:firstLine="374"/>
        <w:spacing w:after="0" w:line="255"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financial records, facilitate our research and development initiatives, manage our manufacturing operations, maintain quality control, fulfill customer orders, maintain corporate records, communicate with staff and external parties and operate other critical functions. We and certain of our third-party providers collect, maintain and process data about customers, employees, business partners and others, including information about individuals, as well as confidential or proprietary information belonging to our business such as trade secrets (collectively, Confidential Information).</w:t>
      </w:r>
    </w:p>
    <w:p>
      <w:pPr>
        <w:spacing w:after="0" w:line="121"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7"/>
          <w:szCs w:val="17"/>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detect, investigate, remediate or recover from future attacks or incidents, or to avoid a material and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IT Systems and/or Confidential Information.</w:t>
      </w:r>
    </w:p>
    <w:p>
      <w:pPr>
        <w:spacing w:after="0" w:line="10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and 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0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expand sales of our products internationally in the future, we will be exposed to additional risks associated with international business.</w:t>
      </w:r>
    </w:p>
    <w:p>
      <w:pPr>
        <w:spacing w:after="0" w:line="159"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While we do not currently market outside of the United States, sales of products internationally will be subject to foreign regulatory requirements governing clinical trials and marketing approval. To the extent we expand sales of our products internationally in the future, we will incur substantial expenses. Additional risks related to operating in foreign countries include:</w:t>
      </w:r>
    </w:p>
    <w:p>
      <w:pPr>
        <w:spacing w:after="0" w:line="108" w:lineRule="exact"/>
        <w:rPr>
          <w:sz w:val="20"/>
          <w:szCs w:val="20"/>
          <w:color w:val="auto"/>
        </w:rPr>
      </w:pPr>
    </w:p>
    <w:p>
      <w:pPr>
        <w:ind w:left="5540" w:right="3540" w:hanging="5158"/>
        <w:spacing w:after="0" w:line="626" w:lineRule="auto"/>
        <w:tabs>
          <w:tab w:leader="none" w:pos="7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evolving regulatory requirements and reimbursement regimes in foreign countries;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intellectual property protections in certain foreign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working, or traveling abroad;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(FCPA) or comparable foreign regulations;</w:t>
      </w:r>
    </w:p>
    <w:p>
      <w:pPr>
        <w:spacing w:after="0" w:line="11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intellectual property held by third parties specific to one or more of those jurisdictions that would limit our ability to distribute the product without a license;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and adversely affect our ability to attain or maintain profitable operations, which would have a material adverse effect on our business, financial condition and results of operations.</w:t>
      </w:r>
    </w:p>
    <w:p>
      <w:pPr>
        <w:spacing w:after="0" w:line="94"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addition, there can be no guarantee that we will receive marketing authorization to sell our products in every international market we target, nor can there be any guarantee that any sales would result even if such authorization is received. Regulatory requirements can vary widely from country to country and could delay the introduction of our products in those countries. Our inability to successfully enter all our desired international markets and manage business on a global scale could materially and adversely affect our business, financial results and results of operations.</w:t>
      </w:r>
    </w:p>
    <w:p>
      <w:pPr>
        <w:spacing w:after="0" w:line="9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technologies or intellectual property, which could fail to result in a commercial product or net sales, divert our management’s attention, result in additional dilution to our stockholders and otherwise disrupt our operations and materially and adversely affect our results of operations.</w:t>
      </w:r>
    </w:p>
    <w:p>
      <w:pPr>
        <w:spacing w:after="0" w:line="17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technologies or intellectual property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 We may also be unable to identify all material liabilities associated with companies we acquire and any indemnities which we receive from the target in connection with an acquisition may be unavailable or insufficient to cover such liabilities.</w:t>
      </w:r>
    </w:p>
    <w:p>
      <w:pPr>
        <w:spacing w:after="0" w:line="124" w:lineRule="exact"/>
        <w:rPr>
          <w:sz w:val="20"/>
          <w:szCs w:val="20"/>
          <w:color w:val="auto"/>
        </w:rPr>
      </w:pPr>
    </w:p>
    <w:p>
      <w:pPr>
        <w:jc w:val="both"/>
        <w:ind w:right="80" w:firstLine="374"/>
        <w:spacing w:after="0" w:line="258"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materially and adversely affect our results of operations. In addition, if an acquired business fails to meet our expectations, our business, financial condition and results of operations may be materially and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existing, and obtain additional, patent and other intellectual property protection for our technology and products, or if the scope of the patent protection we obtained is not sufficiently broad, we may not be able to compete effectively in our markets.</w:t>
      </w:r>
    </w:p>
    <w:p>
      <w:pPr>
        <w:spacing w:after="0" w:line="15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maintain existing, and obtain additional, patent and other intellectual property protection in the United States and other countries with respect to our products and technology we develop.</w:t>
      </w:r>
    </w:p>
    <w:p>
      <w:pPr>
        <w:spacing w:after="0" w:line="94"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have protected and seek to protect our position by in-licensing intellectual property relating to our products and filing patent applications in the United States and abroad related to our technologies and products that are important to our business. Our ability to protect our products from unauthorized copying or recreation by third parties may be limited by the extent that such products are covered by valid and enforceable patents or include information that is effectively maintained as a trade secret. The actual protection afforded by a patent varies on a product-by-product basis, from country to country and depends upon many factors, including the type of patent and the scope of its coverage. For example, we rely on patents covering how the Vivistim System is used, commonly referred to as method patents.</w:t>
      </w:r>
    </w:p>
    <w:p>
      <w:pPr>
        <w:spacing w:after="0" w:line="106"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also rely on a combination of contractual provisions, confidentiality procedures and copyright, trademark, trade secret, and other intellectual property rights to protect the proprietary aspects of our brand, technologies, and data. These legal measures afford only limited protection, and competitors or others may gain access to or use our intellectual property and Confidential Information. Our success will depend, in part, on obtaining and maintaining patents, preserving our trade secrets, maintaining the security of our data and know-how, and obtaining other intellectual property rights.</w:t>
      </w:r>
    </w:p>
    <w:p>
      <w:pPr>
        <w:spacing w:after="0" w:line="112"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or other restrictive covenant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or will be the first to make the inventions claimed in our owned or any licensed patents or pending patent applications, or that we were or will be the first to file for patent protection of such inventions.</w:t>
      </w:r>
    </w:p>
    <w:p>
      <w:pPr>
        <w:spacing w:after="0" w:line="12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0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that are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in which case, our competitors and other third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ind w:right="40"/>
        <w:spacing w:after="0" w:line="282" w:lineRule="auto"/>
        <w:rPr>
          <w:sz w:val="20"/>
          <w:szCs w:val="20"/>
          <w:color w:val="auto"/>
        </w:rPr>
      </w:pPr>
      <w:r>
        <w:rPr>
          <w:rFonts w:ascii="Times New Roman" w:cs="Times New Roman" w:eastAsia="Times New Roman" w:hAnsi="Times New Roman"/>
          <w:sz w:val="18"/>
          <w:szCs w:val="18"/>
          <w:color w:val="auto"/>
        </w:rPr>
        <w:t>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94"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99"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with third parties. If we are unable to obtain an exclusive license to any such third-party co-owners’ interests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2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significant resources to advertising and marketing new brands, and suffer other competitive harm. Third parties may also adopt trademarks similar to ours, which could harm our brand identity and lead to market confusion.</w:t>
      </w:r>
    </w:p>
    <w:p>
      <w:pPr>
        <w:spacing w:after="0" w:line="112"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We may in the future also be subject to claims by our current or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06"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business, financial condition, and results of operations.</w:t>
      </w:r>
    </w:p>
    <w:p>
      <w:pPr>
        <w:spacing w:after="0" w:line="12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materially and adversely affect our competitive position,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intellectual property litigation or administrative proceedings can be costly and could interfere with our ability to sell and market our products.</w:t>
      </w:r>
    </w:p>
    <w:p>
      <w:pPr>
        <w:spacing w:after="0" w:line="22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is possible that United States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We may receive inquiries regarding our intellectual property, notices or “invitations to license,” or may be the subject of claims that our products and business operations infringe or violate the intellectual property rights of others.</w:t>
      </w:r>
    </w:p>
    <w:p>
      <w:pPr>
        <w:spacing w:after="0" w:line="124" w:lineRule="exact"/>
        <w:rPr>
          <w:sz w:val="20"/>
          <w:szCs w:val="20"/>
          <w:color w:val="auto"/>
        </w:rPr>
      </w:pPr>
    </w:p>
    <w:p>
      <w:pPr>
        <w:jc w:val="center"/>
        <w:ind w:right="180"/>
        <w:spacing w:after="0" w:line="282" w:lineRule="auto"/>
        <w:rPr>
          <w:sz w:val="20"/>
          <w:szCs w:val="20"/>
          <w:color w:val="auto"/>
        </w:rPr>
      </w:pPr>
      <w:r>
        <w:rPr>
          <w:rFonts w:ascii="Times New Roman" w:cs="Times New Roman" w:eastAsia="Times New Roman" w:hAnsi="Times New Roman"/>
          <w:sz w:val="18"/>
          <w:szCs w:val="18"/>
          <w:color w:val="auto"/>
        </w:rPr>
        <w:t>The defense of intellectual property litigation can be time consuming and costly, can divert management’s attention and resources, damage our reputation and brand, and cause us to incur significant expenses or make substantial payments, whether or not we receive a determination favorable to us.</w:t>
      </w:r>
    </w:p>
    <w:p>
      <w:pPr>
        <w:spacing w:after="0" w:line="8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In the United States, in order to successfully challenge the validity of a patent in federal court, we would need to overcome a presumption of validity. This standard of proof is a high one, requiring us to present clear and convincing evidence of the invalidity of each asserted claim of the patent. There is no assurance that the court would agree that we had met that standard. Conversely, the patent owner needs only to prove infringement by a preponderance of the evidence, which is a lower standard of proof. If a court of competent jurisdiction should hold that third-party patents are valid, enforceable, and infringed, this could materially and adversely affect our ability to commercialize any products or technology we may develop, and any other products or technologies covered by the asserted third-party patents.</w:t>
      </w:r>
    </w:p>
    <w:p>
      <w:pPr>
        <w:spacing w:after="0" w:line="124"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Further, if patents, trademarks, or trade secrets are successfully asserted against us, this may harm our business and result in injunctions preventing us from developing, manufacturing, or selling our products or offering certain therapies with Vivistim Therapy, or result in obligations to pay license fees, damages, attorney fees, and court costs, which could be significant. In addition, if we are found to willfully infringe third-party patents or trademarks or to misappropriate trade secrets, we could be required to pay treble damages in addition to other penalties.</w:t>
      </w:r>
    </w:p>
    <w:p>
      <w:pPr>
        <w:spacing w:after="0" w:line="11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In addition,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9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Although patent,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and we could be forced to cease some aspects of our business operations. Any of these events could materially and adversely affect our business, financial condition, and results of operations.</w:t>
      </w:r>
    </w:p>
    <w:p>
      <w:pPr>
        <w:spacing w:after="0" w:line="12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Similarly, interference proceedings provoked by third parties or brought by the U.S. Patent and Trademark Office (the USPTO), may be necessary to determine priority of, or ownership rights in, our patents, patent applications, trademarks, or trademark applications. We may also become involved in other proceedings, such as reexamination, inter partes review, derivation or opposition proceedings relating to our or a third party’s patents or patent applications, or cancellation or opposition proceedings relating to our or a third party’s registered trademarks, before the USPTO or the equivalent body in other jurisdictions. Adverse determinations in a judicial or administrative proceeding or failure to obtain necessary licenses could prevent us from manufacturing our products or using product names, which would have a material adverse effect on our business, financial condition, and results of operations.</w:t>
      </w:r>
    </w:p>
    <w:p>
      <w:pPr>
        <w:spacing w:after="0" w:line="120"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60"/>
        <w:spacing w:after="0" w:line="253" w:lineRule="auto"/>
        <w:rPr>
          <w:sz w:val="20"/>
          <w:szCs w:val="20"/>
          <w:color w:val="auto"/>
        </w:rPr>
      </w:pPr>
      <w:r>
        <w:rPr>
          <w:rFonts w:ascii="Times New Roman" w:cs="Times New Roman" w:eastAsia="Times New Roman" w:hAnsi="Times New Roman"/>
          <w:sz w:val="18"/>
          <w:szCs w:val="18"/>
          <w:color w:val="auto"/>
        </w:rPr>
        <w:t>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on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24"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over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106"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23"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current or future licensors fail to maintain the patents and patent applications that we in-license, our competitors may be able to enter the market, which would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be sufficiently long to effectively protect our products and business.</w:t>
      </w:r>
    </w:p>
    <w:p>
      <w:pPr>
        <w:spacing w:after="0" w:line="2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but can be shorter due to terminal disclaimers or similar term reductions in other jurisdictions. Although various extensions may be available, the term of a patent, and the protection it affords, are limited. Even if patents covering our technologies or products are obtained, once the patent term has expired, we may be open to competition. In addition, although upon issuance in the United States, a patent’s term can be increased based on certain delays caused by the USPTO, this increase can be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spacing w:after="0" w:line="261" w:lineRule="auto"/>
        <w:rPr>
          <w:sz w:val="20"/>
          <w:szCs w:val="20"/>
          <w:color w:val="auto"/>
        </w:rPr>
      </w:pPr>
      <w:r>
        <w:rPr>
          <w:rFonts w:ascii="Times New Roman" w:cs="Times New Roman" w:eastAsia="Times New Roman" w:hAnsi="Times New Roman"/>
          <w:sz w:val="18"/>
          <w:szCs w:val="18"/>
          <w:color w:val="auto"/>
        </w:rPr>
        <w:t>reduced or eliminated based on certain delays caused by the patent applicant during patent prosecution. Given the amount of time required for the development, testing, and regulatory review of products, patents protecting such product candidates might expire before or shortly after such products are commercialized. If we do not have sufficient patent life to protect our technologies and products, our business, financial condition, and results of operations will be materially and adversely affected.</w:t>
      </w:r>
    </w:p>
    <w:p>
      <w:pPr>
        <w:spacing w:after="0" w:line="10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9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scope of a patent claim is a legal conclusion that rests upon consideration of the written disclosure in a patent, the patent’s prosecution history, and usage by artisans in the relevant field.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materially and adversely impact our ability to develop and market our products.</w:t>
      </w:r>
    </w:p>
    <w:p>
      <w:pPr>
        <w:spacing w:after="0" w:line="11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may require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If we rely on third parties to manufacture Vivistim Therapy, or any future products, or if we collaborate with third parties on future developments for Vivistim Therapy, or other future products, we may need to, at times, share trade secrets with them. We may also conduct research and development programs that may require us to share trade secrets under the terms of our research and development partnerships or similar agreements. We seek to protect our trade secrets and other proprietary technology in part by entering into confidentiality agreements with third parties prior to disclosing Confidential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financial condition and results of operations.</w:t>
      </w:r>
    </w:p>
    <w:p>
      <w:pPr>
        <w:spacing w:after="0" w:line="12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other service providers to publish data potentially relating to our trade secrets. Despite our efforts to protect our trade secrets, our competitors may discover our trade secrets, either through breach of our agreements with third parties, independent development, or publication of information by any of our third-party collaborators.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third parties who are parties to these agreements breaches or violates the terms of any of these agreements, we may not have adequate remedies for any such breach or violation, and we could lose our trade secrets as a result. A competitor’s discovery of our trade secrets would impair our competitive position and have a material adverse effect on our business.</w:t>
      </w:r>
    </w:p>
    <w:p>
      <w:pPr>
        <w:spacing w:after="0" w:line="10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medical device, biotechnology, or pharmaceutical companies, including our competitors or potential competitors. Some of these employees, consultants, and contractors may have executed proprietary rights, non-disclosure, non-competition or other restrictive covenant agreements in connection with such previous employment or engagement. Although we try to ensure that our employees and consultants do not use the intellectual property, confidential information, know-how, or trade secrets of others in their work for us, we may be subject to claims that we or these individuals have, inadvertently or otherwise, misappropriated the intellectual property or disclosed the alleged trade secrets or other confidential information of these former employers or competitors.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ind w:right="20" w:firstLine="374"/>
        <w:spacing w:after="0" w:line="274"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our ownership interest in intellectual property we regard as our own, based on claims that our employees, consultants, or contractors have breached an obligation to assign inventions to another employer, to a former employer, or to another person or entity. Litigation may be necessary to defend against any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confidential information of the former employers.</w:t>
      </w:r>
    </w:p>
    <w:p>
      <w:pPr>
        <w:spacing w:after="0" w:line="10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TMs or TDSs. A loss of key personnel or their work product could hamper or prevent our ability to commercialize our products, which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229" w:lineRule="exact"/>
        <w:rPr>
          <w:sz w:val="20"/>
          <w:szCs w:val="20"/>
          <w:color w:val="auto"/>
        </w:rPr>
      </w:pPr>
    </w:p>
    <w:p>
      <w:pPr>
        <w:ind w:firstLine="374"/>
        <w:spacing w:after="0" w:line="274"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ownership interest in our patent applications, our future patents, or other intellectual property, including as an inventor or co-inventor. We may be subject to ownership or inventorship disputes in the future arising from, for example, conflicting obligations of consultants, contractors, or others who are involved in developing our products. Our success depends in part on our ability to obtain, maintain, protect, and enforce our intellectual property rights, including our patent rights, preserve the confidentiality of our trade secrets, and operate without infringing, misappropriating, or otherwise violating the intellectual property rights of others. We rely on a combination of patents, trademarks, trade secrets, and other intellectual property rights to protect the products and technology that we consider important to our business.</w:t>
      </w:r>
    </w:p>
    <w:p>
      <w:pPr>
        <w:spacing w:after="0" w:line="105"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Although it is our policy to require our employees and contractors who may be involved in the conception or development of products, technology, know-how, and other proprietary materials (collectively, the Technology) to execute agreements assigning all intellectual property rights in and to such Technology to us, we may be unsuccessful in executing such an agreement with each party who, in fact, conceives or develops Technology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are subject, in part, to the terms and conditions of licenses granted to us by others.</w:t>
      </w:r>
    </w:p>
    <w:p>
      <w:pPr>
        <w:spacing w:after="0" w:line="22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rely, in part, upon licenses to certain patent rights and proprietary technology from third parties that are important or necessary to the development of our products and technology.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99"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materially and adversely affected.</w:t>
      </w:r>
    </w:p>
    <w:p>
      <w:pPr>
        <w:spacing w:after="0" w:line="120" w:lineRule="exact"/>
        <w:rPr>
          <w:sz w:val="20"/>
          <w:szCs w:val="20"/>
          <w:color w:val="auto"/>
        </w:rPr>
      </w:pPr>
    </w:p>
    <w:p>
      <w:pPr>
        <w:ind w:right="340" w:firstLine="374"/>
        <w:spacing w:after="0" w:line="312" w:lineRule="auto"/>
        <w:rPr>
          <w:sz w:val="20"/>
          <w:szCs w:val="20"/>
          <w:color w:val="auto"/>
        </w:rPr>
      </w:pPr>
      <w:r>
        <w:rPr>
          <w:rFonts w:ascii="Times New Roman" w:cs="Times New Roman" w:eastAsia="Times New Roman" w:hAnsi="Times New Roman"/>
          <w:sz w:val="17"/>
          <w:szCs w:val="17"/>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firstLine="374"/>
        <w:spacing w:after="0" w:line="253"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will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materially and adversely affect our business, financial condition and results of operations.</w:t>
      </w:r>
    </w:p>
    <w:p>
      <w:pPr>
        <w:spacing w:after="0" w:line="127"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In the future, we may enter agreements involving licenses or collaborations that provide for access or sharing of intellectual property. If we fail to comply with our obligations under any license, collaboration, or other agreement, we may be required to pay damages and could lose intellectual property rights that are necessary for developing and protecting our current and future products.</w:t>
      </w:r>
    </w:p>
    <w:p>
      <w:pPr>
        <w:spacing w:after="0" w:line="9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w:t>
      </w:r>
    </w:p>
    <w:p>
      <w:pPr>
        <w:spacing w:after="0" w:line="158" w:lineRule="exact"/>
        <w:rPr>
          <w:sz w:val="20"/>
          <w:szCs w:val="20"/>
          <w:color w:val="auto"/>
        </w:rPr>
      </w:pPr>
    </w:p>
    <w:p>
      <w:pPr>
        <w:ind w:left="760" w:right="1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any of our future licensors and us and our partners.</w:t>
      </w:r>
    </w:p>
    <w:p>
      <w:pPr>
        <w:spacing w:after="0" w:line="162"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 financial condition and results of operations.</w:t>
      </w:r>
    </w:p>
    <w:p>
      <w:pPr>
        <w:spacing w:after="0" w:line="9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08"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or unenforceable, and such applications may never result in valid, enforceable patents. Any of these outcomes could impair our ability to prevent competition from third parties, which may have a material adverse effect on our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0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0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technology which is critical to our business that is developed in whole or in part with federal funds subject to the Bayh-Dole Act, our ability to enforce or otherwise exploit patents covering such technology may be materially and adversely affected.</w:t>
      </w:r>
    </w:p>
    <w:p>
      <w:pPr>
        <w:spacing w:after="0" w:line="124"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products we may develop through acquisitions and in-licenses.</w:t>
      </w:r>
    </w:p>
    <w:p>
      <w:pPr>
        <w:spacing w:after="0" w:line="229"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have a material adverse effect on our business, financial condition, and results of operations.</w:t>
      </w:r>
    </w:p>
    <w:p>
      <w:pPr>
        <w:spacing w:after="0" w:line="10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or partnership arrangements that we may enter into in the future may not be successful, which could materially and adversely affect our ability to develop and commercialize our products.</w:t>
      </w:r>
    </w:p>
    <w:p>
      <w:pPr>
        <w:spacing w:after="0" w:line="15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9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17" w:lineRule="exact"/>
        <w:rPr>
          <w:rFonts w:ascii="Times New Roman" w:cs="Times New Roman" w:eastAsia="Times New Roman" w:hAnsi="Times New Roman"/>
          <w:sz w:val="18"/>
          <w:szCs w:val="18"/>
          <w:color w:val="auto"/>
        </w:rPr>
      </w:pPr>
    </w:p>
    <w:p>
      <w:pPr>
        <w:jc w:val="both"/>
        <w:ind w:left="760" w:right="680" w:hanging="378"/>
        <w:spacing w:after="0" w:line="289" w:lineRule="auto"/>
        <w:tabs>
          <w:tab w:leader="none" w:pos="7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9" w:lineRule="exact"/>
        <w:rPr>
          <w:rFonts w:ascii="Times New Roman" w:cs="Times New Roman" w:eastAsia="Times New Roman" w:hAnsi="Times New Roman"/>
          <w:sz w:val="17"/>
          <w:szCs w:val="17"/>
          <w:color w:val="auto"/>
        </w:rPr>
      </w:pPr>
    </w:p>
    <w:p>
      <w:pPr>
        <w:ind w:left="760" w:right="10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and future products;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left="760" w:right="7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Confidential Information in a way that gives rise to actual or threatened litigation that could jeopardize or invalidate our intellectual property or Confidential Information or expose us to potential liability;</w:t>
      </w:r>
    </w:p>
    <w:p>
      <w:pPr>
        <w:spacing w:after="0" w:line="6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760" w:right="12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Confidential Information, our business and competitive position may be materially and adversely affected.</w:t>
      </w:r>
    </w:p>
    <w:p>
      <w:pPr>
        <w:spacing w:after="0" w:line="15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Confidential Information that is not patentable or that we elect not to patent. However, trade secrets can be difficult to protect, and some courts are less willing or unwilling to protect trade secrets. To maintain the confidentiality of our trade secrets and Confidential Information, we rely heavily on confidentiality provisions and other restrictive covenants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Confidential Information in the event of any unauthorized use, misappropriation, or disclosure of such trade secrets, know-how, or other Confidential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materially and adversely affect our ability to expand to international markets or require costly efforts to protect our technology.</w:t>
      </w:r>
    </w:p>
    <w:p>
      <w:pPr>
        <w:spacing w:after="0" w:line="12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To the extent our intellectual property or other Confidential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materially and adversely harm the value of our products, brand, and business. The theft or unauthorized use or publication of our trade secrets and other Confidential Information could reduce the differentiation of our products and harm our business, the value of our investment in development or business acquisitions could be reduced, and third parties might make claims against us related to losses of their confidential information. Any of the foregoing could have a material adverse effect on our business, financial condition, and results of operations.</w:t>
      </w:r>
    </w:p>
    <w:p>
      <w:pPr>
        <w:spacing w:after="0" w:line="11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1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our patents in general, thereby impairing our ability to protect our products and could increase the uncertainties and costs surrounding the prosecution of our patent applications and the enforcement or defense of our current or future patents.</w:t>
      </w:r>
    </w:p>
    <w:p>
      <w:pPr>
        <w:spacing w:after="0" w:line="175"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spacing w:after="0" w:line="9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United States has enacted and implemented wide-ranging patent reform legislation, and further patent reform legislation may pass in the future that could lead to additional uncertainties and increased costs surrounding the prosecution, enforcement, and defense of our patents and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24"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We cannot predict future changes in the interpretation of patent laws in the United States and other countries or changes to patent laws that might be enacted into law by U.S. and foreign legislative bodies. Those changes may materially and adversely affect our patents or patent applications and our ability to obtain additional patent protection in the future. Any of the foregoing could have a material adverse effect on our competitive position,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29" w:lineRule="exact"/>
        <w:rPr>
          <w:sz w:val="20"/>
          <w:szCs w:val="20"/>
          <w:color w:val="auto"/>
        </w:rPr>
      </w:pPr>
    </w:p>
    <w:p>
      <w:pPr>
        <w:ind w:right="220" w:firstLine="374"/>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covering Vivistim Therapy, and any of our future products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licensed patents, and any future patent claims or other intellectual property rights may not be effective or sufficient to prevent them from so competing.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4" w:lineRule="exact"/>
        <w:rPr>
          <w:sz w:val="20"/>
          <w:szCs w:val="20"/>
          <w:color w:val="auto"/>
        </w:rPr>
      </w:pPr>
    </w:p>
    <w:p>
      <w:pPr>
        <w:ind w:left="760" w:right="3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or future products we intend to commercialize that are not covered by the patents that we exclusively licensed and have the right to enforce;</w:t>
      </w:r>
    </w:p>
    <w:p>
      <w:pPr>
        <w:spacing w:after="0" w:line="53"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current or future products may be terminated by the licensor;</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make the inventions covered by the issued patents or pending patent applications that we own;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advantages, or may be held invalid or unenforceable as a result of legal challenges;</w:t>
      </w:r>
    </w:p>
    <w:p>
      <w:pPr>
        <w:spacing w:after="0" w:line="5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the proprietary software we use to general release, materially and adversely affect our ability to sell our products and subject us to possible litigation.</w:t>
      </w:r>
    </w:p>
    <w:p>
      <w:pPr>
        <w:spacing w:after="0" w:line="159"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We use “open source software” in a portion of the products or technologies licensed, developed, or distributed by us, including as incorporated into software we receive from third-party commercial software vendors,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the software we utilize in connection with open source software could require that we disclose and license some or all of our proprietary code in that software, as well as distribute our products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materially and adversely affect our business, financial condition, and results of operations.</w:t>
      </w:r>
    </w:p>
    <w:p>
      <w:pPr>
        <w:spacing w:after="0" w:line="10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materially and adversely affected.</w:t>
      </w:r>
    </w:p>
    <w:p>
      <w:pPr>
        <w:spacing w:after="0" w:line="159"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to distinguish our products from the products of our competitors and have registered or applied to register these trademarks. We cannot assure you that our trademark applications will be approved. During trademark registration proceedings, we may receive rejections. Although we are given an opportunity to respond 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200"/>
        <w:spacing w:after="0" w:line="258" w:lineRule="auto"/>
        <w:rPr>
          <w:sz w:val="20"/>
          <w:szCs w:val="20"/>
          <w:color w:val="auto"/>
        </w:rPr>
      </w:pPr>
      <w:r>
        <w:rPr>
          <w:rFonts w:ascii="Times New Roman" w:cs="Times New Roman" w:eastAsia="Times New Roman" w:hAnsi="Times New Roman"/>
          <w:sz w:val="18"/>
          <w:szCs w:val="18"/>
          <w:color w:val="auto"/>
        </w:rPr>
        <w:t>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w:t>
      </w:r>
    </w:p>
    <w:p>
      <w:pPr>
        <w:spacing w:after="0" w:line="116"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For example, we have not registered the name “MicroTransponder,” “Mobia” or “Mobia Medical” as a word trademark in the United States on the principal register, although we have obtained registration of the name “MicroTransponder” on the supplemental register. Registration on the principal register offers certain protections not provided to registrations on the supplemental register, including the right to obtain statutory damages and attorneys’ fees in connection with third party infringement of the trademark, the right to register a mark with U.S. Customs to prevent the importation of goods that contain infringing marks and the ability to seek incontestability status after five years of registration on the primary register. Without a registered trademark on the principal register, we may encounter difficulty in enforcing, or be unable to enforce, the name “MicroTransponder,” “Mobia” or “Mobia Medical” against third parties in the United States, which could adversely affect our business and our ability to effectively compete in the marketplace.</w:t>
      </w:r>
    </w:p>
    <w:p>
      <w:pPr>
        <w:spacing w:after="0" w:line="10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materially and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in the United States, and our failure to comply with applicable requirements could materially and adversely affect our business.</w:t>
      </w:r>
    </w:p>
    <w:p>
      <w:pPr>
        <w:spacing w:after="0" w:line="15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complaint procedures and protocols, including documentation thereof;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08"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FDA inspectional observations;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 For example, following a routine FDA inspection in March 2026, we received a notice of inspectional observations, or Form 483, with one observation involving two events for which a medical device report was not submitted within 30 days of receiving or otherwise becoming aware of information regarding such events. These events have since been reported and we believe we have since addressed this observation with a corrective and preventative action plan, which included streamlined procedures for evaluating potential adverse events and training for relevant personnel at the Company regarding these procedures and reporting. We submitted a formal written response to FDA in April 2026. To date, the FDA has not taken any further action with respect to the inspection or its findings.</w:t>
      </w:r>
    </w:p>
    <w:p>
      <w:pPr>
        <w:spacing w:after="0" w:line="11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marketing authorizations for our products, or to timely obtain necessary marketing authorizations for our future products, may have a material and adverse effect on our business, financial condition and results of operations.</w:t>
      </w:r>
    </w:p>
    <w:p>
      <w:pPr>
        <w:spacing w:after="0" w:line="15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Our products are subject to extensive regulation by the FDA and the Federal Communications Commission (the FCC) in the United States and by regulatory agencies in other countries where we do business. For medical devices involving radio frequency (RF)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wireless technologies, the FDA’s policies on wireless medical devices coordinate with the FCC. 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(PMA) application, or grant of a de novo 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2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9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de novo classification request. Despite the time, effort and cost, a device may not obtain marketing authorization by the FDA. We have obtained PMA approval for Vivistim Therapy, and we must obtain marketing authorization for any future devices we develop or future additional indications for Vivistim Therapy, unless they are exempt. Marketing authorizations for any of our future products, if granted, may include significant limitations on the indicated uses for the device, which may limit the potential commercial market for the device.</w:t>
      </w:r>
    </w:p>
    <w:p>
      <w:pPr>
        <w:spacing w:after="0" w:line="124"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the United States, any modification to a medical device for which we have obtained a PMA may require us to submit a new PMA or PMA supplement and obtain FDA approval. For example, certain changes to an approved device, such as changes in manufacturing facilities, methods, or quality control procedures, or changes in the design performance specifications, which affect the safety or effectiveness of the device, require submission of a PMA supplement.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We have made modifications to our approved Vivistim Therapy and submitted and received approval of PMA supplements in the past. We may make modifications or add additional features in the future to Vivistim Therapy that we believe do not require a new approval of a PMA or PMA supplement.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FDA can delay, limit or deny marketing authorization of a device for many reasons, including:</w:t>
      </w:r>
    </w:p>
    <w:p>
      <w:pPr>
        <w:spacing w:after="0" w:line="144" w:lineRule="exact"/>
        <w:rPr>
          <w:sz w:val="20"/>
          <w:szCs w:val="20"/>
          <w:color w:val="auto"/>
        </w:rPr>
      </w:pPr>
    </w:p>
    <w:p>
      <w:pPr>
        <w:ind w:left="760" w:right="40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substantially equivalent to a predicate device or are safe and effective for their intended uses;</w:t>
      </w:r>
    </w:p>
    <w:p>
      <w:pPr>
        <w:spacing w:after="0" w:line="5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clinical trials or the interpretation of data from preclinical trials or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trials and clinical trials may be insufficient to support clearance, de novo classification, or approval, where required;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marketing authorization regulations of the FDA to change significantly in a manner rendering our clinical data or regulatory filings insufficient for marketing authorization.</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20"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spacing w:after="0" w:line="99"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de novo classifications or approvals, or comparable foreign marketing authorizations of new products, new intended uses, or modifications to existing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any granted marketing authorizations, resulting in prohibitions on sales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negative publicity, higher than anticipated costs or lower than anticipated sales and have a material adverse effect on our reputation, business, financial condition and results of operations.</w:t>
      </w:r>
    </w:p>
    <w:p>
      <w:pPr>
        <w:spacing w:after="0" w:line="9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addition, the FDA may change its marketing authorization policies which may affect future products. The FDA may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w:t>
      </w:r>
    </w:p>
    <w:p>
      <w:pPr>
        <w:spacing w:after="0" w:line="11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Vivistim Therapy, and any marketing authorization we may receive for future products, is, and will be, limited to specified indications for use. We train our commercial team, including our direct sales force, to not promote our device for use outside of the FDA-authorized indications for use, known as “off-label uses.” However, this training may not be effective in preventing all instances of off-label promotion. We cannot, in addition, prevent a healthcare professional from using our devices off-label, when in the healthcare professional’s independent professional judgment he or she deems it appropriate. There may be increased risk of injury to</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right="20"/>
        <w:spacing w:after="0" w:line="282" w:lineRule="auto"/>
        <w:rPr>
          <w:sz w:val="20"/>
          <w:szCs w:val="20"/>
          <w:color w:val="auto"/>
        </w:rPr>
      </w:pPr>
      <w:r>
        <w:rPr>
          <w:rFonts w:ascii="Times New Roman" w:cs="Times New Roman" w:eastAsia="Times New Roman" w:hAnsi="Times New Roman"/>
          <w:sz w:val="18"/>
          <w:szCs w:val="18"/>
          <w:color w:val="auto"/>
        </w:rPr>
        <w:t>patients if healthcare professionals attempt to use our devices off-label, which could harm our reputation in the marketplace among healthcare professionals and patients.</w:t>
      </w:r>
    </w:p>
    <w:p>
      <w:pPr>
        <w:spacing w:after="0" w:line="94"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08"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addition, healthcare professionals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even if we are ultimately successful in our defense, product liability claims could divert management’s attention from our core business, be expensive to defend, and result in sizeable damage awards against us that may not be covered by insurance, all of which would have a material adverse effect on our business, financial condition and results of operations.</w:t>
      </w:r>
    </w:p>
    <w:p>
      <w:pPr>
        <w:spacing w:after="0" w:line="11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applicable laws and regulations, and we could be forced to recall our devices or terminate production if we fail to comply with these regulations.</w:t>
      </w:r>
    </w:p>
    <w:p>
      <w:pPr>
        <w:spacing w:after="0" w:line="15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In the United States, the methods used in, and the facilities used for, the manufacture of medical devices must comply with the FDA’s Current Good Manufacturing Practices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On February 23, 2024, the FDA issued a final rule to amend the QSR to align more closely with the International Organization for Standardization (ISO) standards. Specifically, this final rule, which the FDA expects to go into effect on February 2, 2026, replaces the QSR with the Quality Management System Regulation (QMSR), and among other things, incorporates by reference the quality management system requirements of ISO 13485:2016. Although the FDA has stated that the standards contained in ISO 13485:2016 are substantially similar to those set forth in the QSR, it is unclear the extent to which this final rule, once effective, could impose additional or different regulatory requirements on us that could increase the costs of compliance or otherwise create market pressure that may negatively affect our business. Furthermore, we are required to verify that our suppliers maintain facilities, procedures, and operations that comply with our quality standards and applicable regulatory requirements. The FDA enforces the QSR, and is expected to enforce the QMSR, through periodic announced or unannounced inspections of medical device manufacturing facilities, which may include the facilities of subcontractors. Our products are also subject to similar state regulations governing manufacturing.</w:t>
      </w:r>
    </w:p>
    <w:p>
      <w:pPr>
        <w:spacing w:after="0" w:line="12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Despite our efforts to ensure compliance, we or 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Any of these actions could significantly and negatively affect supply of our products. If any of these events occurs, our reputation could be harmed, we could be exposed to product liability claims and we could lose customers and experience reduced sales and increased costs. We are also subject to similar state requirements and licenses.</w:t>
      </w:r>
    </w:p>
    <w:p>
      <w:pPr>
        <w:spacing w:after="0" w:line="107"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products have in the past, and may in the future cause or contribute to adverse medical events or be subject to failures or malfunctions which we may be required to report to the FDA, and if we fail to do so, we would be subject to sanctions that could materially and adversely affect our reputation, business, financial condition and results of operations. In addition, the discovery of serious safety issues with our products, or a recall of our products either voluntarily or at the direction of the FDA, could have a material adverse effect on us.</w:t>
      </w:r>
    </w:p>
    <w:p>
      <w:pPr>
        <w:spacing w:after="0" w:line="11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There have been, and there may continue to be side effects and adverse events associated with the use of our medical devices or any future devices we develop.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right="20"/>
        <w:spacing w:after="0" w:line="255" w:lineRule="auto"/>
        <w:rPr>
          <w:sz w:val="20"/>
          <w:szCs w:val="20"/>
          <w:color w:val="auto"/>
        </w:rPr>
      </w:pPr>
      <w:r>
        <w:rPr>
          <w:rFonts w:ascii="Times New Roman" w:cs="Times New Roman" w:eastAsia="Times New Roman" w:hAnsi="Times New Roman"/>
          <w:sz w:val="18"/>
          <w:szCs w:val="18"/>
          <w:color w:val="auto"/>
        </w:rPr>
        <w:t>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The FDA may also disagree with our determinations that an event was not reportable.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in the future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06"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16"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 the future initiate voluntary withdrawals or corrections for our products that we determine do not require notification of the FDA. If the FDA disagrees with our determinations, it could require us to report those actions as recalls and we may be subject to enforcement action. A future recall announcement could materially and adversely affect our reputation with customers, potentially lead to product liability claims against us, and materially and adversely affect our sales. Any corrective action, whether voluntary or involuntary, as well as defending ourselves in a lawsuit, will require the dedication of our time and capital, distract management from operating our business, and may materially and adversely affect our reputation, business, financial condition and results of operations and could expose us to material claims and losses.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in the United States may materially and adversely affect our business, financial condition and results of operations.</w:t>
      </w:r>
    </w:p>
    <w:p>
      <w:pPr>
        <w:spacing w:after="0" w:line="15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There have been and continue to be proposals by the federal government, state governments, regulators, and third-party payors to control or manage the increased costs of healthcare and, more generally, to reform the United States healthcare system. Outside of the United States, foreign governments and regulatory authorities may implement new requirements that could impact our business and market acceptance.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106"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in March 2010, the Patient Protection and Affordable Care Act, as amended by the Health Care and Education Reconciliation Act of 2010, together, the Affordable Care Act (the ACA) was enacted. The ACA made a number of substantial changes to the way healthcare is financed by both governmental and private insurers, including the imposition of health insurance mandates on employers and individuals, the provision of subsidies to eligible individuals enrolled in plans offered on the health insurance exchanges and the expansion of the Medicaid program.</w:t>
      </w:r>
    </w:p>
    <w:p>
      <w:pPr>
        <w:spacing w:after="0" w:line="11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More recently, the One Big Beautiful Bill Act (the OBBBA) was signed into law on July 4, 2025, and contains provisions that, among other changes, are expected to reduce the number of individuals enrolled in state Medicaid programs and ACA marketplace plans, which could adversely affect commercialization of Vivistim Therapy. We cannot predict how other litigation or legislative efforts, or the healthcare reform measures of the Trump administration will impact our business. The Trump administration is currently pursuing policies to reduce regulations and expenditures across government including at the U.S. Department of Health and Human Services, the FDA, the CMS, and related agencies. It is possible that certain of these changes could impose additional limitations on the rates we will be able to charge for our current and future products or the amounts of reimbursement available for our customers for procedures in which our products are utilized from governmental agencies 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right="280"/>
        <w:spacing w:after="0" w:line="266" w:lineRule="auto"/>
        <w:rPr>
          <w:sz w:val="20"/>
          <w:szCs w:val="20"/>
          <w:color w:val="auto"/>
        </w:rPr>
      </w:pPr>
      <w:r>
        <w:rPr>
          <w:rFonts w:ascii="Times New Roman" w:cs="Times New Roman" w:eastAsia="Times New Roman" w:hAnsi="Times New Roman"/>
          <w:sz w:val="18"/>
          <w:szCs w:val="18"/>
          <w:color w:val="auto"/>
        </w:rPr>
        <w:t>third-party payors. We cannot assure you that the ACA or the OBBBA,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08" w:lineRule="exact"/>
        <w:rPr>
          <w:sz w:val="20"/>
          <w:szCs w:val="20"/>
          <w:color w:val="auto"/>
        </w:rPr>
      </w:pPr>
    </w:p>
    <w:p>
      <w:pPr>
        <w:jc w:val="both"/>
        <w:ind w:right="340" w:firstLine="374"/>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includes reductions to Medicare payments to providers, which went into effect on April 1, 2013, which, due to subsequent legislative amendments, will stay in effect through 2032, unless additional congressional action is taken.</w:t>
      </w:r>
    </w:p>
    <w:p>
      <w:pPr>
        <w:spacing w:after="0" w:line="95"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Additionally, the American Taxpayer Relief Act of 2012, among other things, reduced Medicare payments to several providers, and increased the statute of limitations period for the government to recover overpayments to providers from three to five years. The Medicare Access and CHIP Reauthorization Act of 2015 (the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may have on our business, financial condition, results of operations, or cash flows. These new laws may result in additional reductions in Medicare and other healthcare funding, which could have a material adverse effect on customers for our products, if approved, and accordingly, our financial operations.</w:t>
      </w:r>
    </w:p>
    <w:p>
      <w:pPr>
        <w:spacing w:after="0" w:line="124"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108"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or administrative measures to control product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10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we could face substantial penalties and our business operations and financial condition could be materially and adversely affected. In addition, any challenge to or investigation into our practices under these laws could cause adverse publicity and be costly to respond to, and thus could materially and adversely affect our business.</w:t>
      </w:r>
    </w:p>
    <w:p>
      <w:pPr>
        <w:spacing w:after="0" w:line="17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U.S. healthcare industry is heavily regulated and closely scrutinized by foreign, federal, state and local authorities. We are subject to various state and federal fraud and abuse, anti-kickback, false claims, transparency requirements, consumer protection and other healthcare laws and regulations. These laws constrain the business and financial arrangements and relationships through which we research, sell, market, and distribute our products, such as our arrangements with hospitals, physicians, therapists, customers and third-party payors. Healthcare fraud and abuse laws and related regulations are complex, and even minor irregularities can potentially give rise to claims that a statute or prohibition has been violated. The laws that may affect our ability to operate include, but are not limited to: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ind w:left="760" w:right="20" w:hanging="378"/>
        <w:spacing w:after="0" w:line="277"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(AKS),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includes the transfer of anything of value, in cash or in kind and directly or indirectly. A person or entity does not need to have actual knowledge of the statute or specific intent to violate it to have committed a violation;</w:t>
      </w:r>
    </w:p>
    <w:p>
      <w:pPr>
        <w:spacing w:after="0" w:line="59" w:lineRule="exact"/>
        <w:rPr>
          <w:rFonts w:ascii="Times New Roman" w:cs="Times New Roman" w:eastAsia="Times New Roman" w:hAnsi="Times New Roman"/>
          <w:sz w:val="17"/>
          <w:szCs w:val="17"/>
          <w:color w:val="auto"/>
        </w:rPr>
      </w:pPr>
    </w:p>
    <w:p>
      <w:pPr>
        <w:ind w:left="760" w:hanging="378"/>
        <w:spacing w:after="0" w:line="25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(FCA), which imposes civil and criminal liability on individuals or entities that knowingly submit false or fraudulent claims for payment to the government or knowingly making, or causing to be made, a false statement in order to have a false claim paid, including qui tam or whistleblower suits. Private individuals can bring False Claims Act “qui tam” actions, on behalf of the government and such individuals, commonly known as “whistleblowers,” may share in amounts paid by the entity to the government in fines or settlement. In addition, the government may assert that a claim including items or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ind w:left="760" w:right="28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HIPAA and related rules, which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AKS,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8"/>
          <w:szCs w:val="18"/>
          <w:color w:val="auto"/>
        </w:rPr>
      </w:pPr>
    </w:p>
    <w:p>
      <w:pPr>
        <w:ind w:left="760" w:right="80" w:hanging="378"/>
        <w:spacing w:after="0" w:line="25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which requires, among other things, certain manufacturers of drugs, devices, biologics and medical supplies reimbursed under Medicare, Medicaid, or the Children’s Health Insurance Program to report to CMS information related to payments and other transfers of value provided to physicians (defined to include doctors, dentists, optometrists, podiatrists and chiropractors), certain non-physician providers (physician assistants, nurse practitioners, clinical nurse specialists, certified registered nurse anesthetists, anesthesiology assistants and certified nurse midwives), and teaching hospitals and physician ownership and investment interests, including such ownership and investment interests held by a physician’s immediate family members;</w:t>
      </w:r>
    </w:p>
    <w:p>
      <w:pPr>
        <w:spacing w:after="0" w:line="79"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anti-inducement laws, which prohibit the offer or transfer of remuneration that would influence the patient to order or receive a healthcare item or service;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or patients, state laws that require device companies to comply with the industry’s voluntary compliance guidelines and the relevant compliance guidance promulgated by the federal government, and state and local laws that require medical device manufacturers to report information related to payments and other transfers of value to physicians and other healthcare providers or marketing expenditures and require the registration of their TMs or other sales personnel.</w:t>
      </w:r>
    </w:p>
    <w:p>
      <w:pPr>
        <w:spacing w:after="0" w:line="187" w:lineRule="exact"/>
        <w:rPr>
          <w:sz w:val="20"/>
          <w:szCs w:val="20"/>
          <w:color w:val="auto"/>
        </w:rPr>
      </w:pPr>
    </w:p>
    <w:p>
      <w:pPr>
        <w:jc w:val="both"/>
        <w:ind w:right="440" w:firstLine="374"/>
        <w:spacing w:after="0" w:line="266" w:lineRule="auto"/>
        <w:rPr>
          <w:sz w:val="20"/>
          <w:szCs w:val="20"/>
          <w:color w:val="auto"/>
        </w:rPr>
      </w:pPr>
      <w:r>
        <w:rPr>
          <w:rFonts w:ascii="Times New Roman" w:cs="Times New Roman" w:eastAsia="Times New Roman" w:hAnsi="Times New Roman"/>
          <w:sz w:val="18"/>
          <w:szCs w:val="18"/>
          <w:color w:val="auto"/>
        </w:rPr>
        <w:t>Due to the breadth of these laws and the narrowness of statutory exceptions and regulatory safe harbors available, it is possible that some of our current or future practices, such as our commercial activities, interactions with physicians and patients, and reimbursement support activities might be challenged, by regulatory authorities, our competitors or others, under one or more of these laws.</w:t>
      </w:r>
    </w:p>
    <w:p>
      <w:pPr>
        <w:spacing w:after="0" w:line="108"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recently increased their scrutiny of interactions between medical device and pharmaceutical manufacturers and healthcare providers, which has led to a number of investigations, prosecutions, convictions and settlements in the healthcare industry. Responding to investigations and qui tam actions can be time-and resource-consuming and can divert management’s attention from the business. Additionally, as a result of these investigations, manufacturers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firstLine="374"/>
        <w:spacing w:after="0" w:line="256"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reputational harm and disgorgement and we could be required to curtail, restructure or cease our operations. Any of the foregoing consequences will materially and adversely affect our business, financial condition and results of operations.</w:t>
      </w:r>
    </w:p>
    <w:p>
      <w:pPr>
        <w:spacing w:after="0" w:line="11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may make it more difficult and costly for us to manufacture, market, or distribute our products, or to obtain marketing authorizations for any future products.</w:t>
      </w:r>
    </w:p>
    <w:p>
      <w:pPr>
        <w:spacing w:after="0" w:line="15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ISO standards. Specifically, this final rule, which the FDA expects to go into effect on February 2, 2026, replaces the QSR with the QMSR, and among other things, incorporates by reference the quality management system requirements of ISO 13485:2016. Although the FDA has stated that the standards contained in ISO 13485:2016 are substantially similar to those set forth in the existing QSR, it is unclear the extent to which this final rule, once effective, could impose additional or different regulatory requirements on us that could increase the costs of compliance or otherwise create market pressure that may materially and adversely affect our business. It is unclear to what extent any other legislative or regulatory proposal, if adopted, could impose additional or different regulatory requirements on us that could increase the costs of compliance or otherwise create competition that may materially and adversely affect our business.</w:t>
      </w:r>
    </w:p>
    <w:p>
      <w:pPr>
        <w:spacing w:after="0" w:line="10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1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laws and regulations related to anti-bribery and anti-corruption laws, such as the FCPA, anti-money laundering laws, and economic and trade sanctions, in which violations of these laws could result in substantial penalties and prosecution.</w:t>
      </w:r>
    </w:p>
    <w:p>
      <w:pPr>
        <w:spacing w:after="0" w:line="15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are similarly subject to various heavily enforced anti-bribery and anti-corruption laws, such as the FCPA, anti-money laundering laws, and similar laws around the world. The FCPA or other anti-corruption and anti-bribery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Certain suppliers of components of our devices are located in countries known to experience corruption. Business activities in these countries create the risk of unauthorized payments or offers of payments by one of our employees, consultants,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contractors and agents and to identify and address potentially impermissible transactions under such laws and regulations, we cannot assure you that none of our employees, consultants, contractors and agents will take actions in violation of our policies, for which we may be ultimately responsible.</w:t>
      </w:r>
    </w:p>
    <w:p>
      <w:pPr>
        <w:spacing w:after="0" w:line="127" w:lineRule="exact"/>
        <w:rPr>
          <w:sz w:val="20"/>
          <w:szCs w:val="20"/>
          <w:color w:val="auto"/>
        </w:rPr>
      </w:pPr>
    </w:p>
    <w:p>
      <w:pPr>
        <w:ind w:right="20" w:firstLine="374"/>
        <w:spacing w:after="0" w:line="273" w:lineRule="auto"/>
        <w:rPr>
          <w:sz w:val="20"/>
          <w:szCs w:val="20"/>
          <w:color w:val="auto"/>
        </w:rPr>
      </w:pPr>
      <w:r>
        <w:rPr>
          <w:rFonts w:ascii="Times New Roman" w:cs="Times New Roman" w:eastAsia="Times New Roman" w:hAnsi="Times New Roman"/>
          <w:sz w:val="17"/>
          <w:szCs w:val="17"/>
          <w:color w:val="auto"/>
        </w:rPr>
        <w:t>We are also subject to certain economic and trade sanctions programs, including those administered by the U.S. Department of the Treasury’s Office of Foreign Assets Control, which prohibit or restrict transactions or dealings with or involving specified countries, their governments, and in certain circumstances, their nationals, or with individuals and entities that are specially-designated nationals, narcotics traffickers, terrorists or terrorist organizations, or otherwise blocked or sanctioned pursuant to applicable regulations. In addition, we are subject to export controls and similar trade restrictions, which restrict or prohibit the export, re-export, and transfer of certain goods, software, technology, and services to specified countries, governments, entities, and individuals. For example, in December 2021, the U.S. Congress enacted the Uyghur Forced Labor Prevention Act in an effort to prevent what it views as forced labor and human rights abuses in the Xinjiang Uyghur Autonomous Region, or XUAR, of China. If it is determined that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160"/>
        <w:spacing w:after="0" w:line="261" w:lineRule="auto"/>
        <w:rPr>
          <w:sz w:val="20"/>
          <w:szCs w:val="20"/>
          <w:color w:val="auto"/>
        </w:rPr>
      </w:pPr>
      <w:r>
        <w:rPr>
          <w:rFonts w:ascii="Times New Roman" w:cs="Times New Roman" w:eastAsia="Times New Roman" w:hAnsi="Times New Roman"/>
          <w:sz w:val="18"/>
          <w:szCs w:val="18"/>
          <w:color w:val="auto"/>
        </w:rPr>
        <w:t>third-party suppliers and manufacturers produce or manufacture our components or products wholly or in part from the XUAR, or certain designated entities, then we could be prohibited from importing such components or products into the United States. Similarly, the U.S. government has increasingly issued new restrictions limiting access to federal contracts or funds for companies that source certain types of equipment or services from designated companies in China or other so-called countries of concern.</w:t>
      </w:r>
    </w:p>
    <w:p>
      <w:pPr>
        <w:spacing w:after="0" w:line="11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Responding to any enforcement action or related investigation may result in a materially significant diversion of management’s attention and resources and significant defense costs and other professional fees. Any violation of the FCPA or other applicable anti-bribery or anti-corruption laws, anti-money laundering laws, or sanctions could result in whistleblower complaints, adverse media coverage, investigations, loss of export privileges, severe criminal or civil sanctions and suspension or debarment from U.S. government contracts, which could have a material adverse effect on our business, financial condition and results of operations.</w:t>
      </w:r>
    </w:p>
    <w:p>
      <w:pPr>
        <w:spacing w:after="0" w:line="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failures associated with our products could lead to recalls, safety alerts or litigation, as well as supply chain disruption, significant costs, and negative publicity.</w:t>
      </w:r>
    </w:p>
    <w:p>
      <w:pPr>
        <w:spacing w:after="0" w:line="15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in the future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in workmanship and materials and conform to specifications, and offer to repair or replace defective products. Although we have had very few warranty claims to date, we bear the risk of potential warranty claims on our products. If we receive a significant number of warranty claims or our products require significant amounts of service after sale, our operating expenses may substantially increase and our business and financial results will be adversely affected.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In the event that we attempt to recover some or all of the expenses associated with a warranty claim against us from our suppliers or vendors, we may not be successful in claiming recovery under any warranty or indemnity provided to us by such suppliers or vendors or that any recovery from such vendor or supplier would be adequate.</w:t>
      </w:r>
    </w:p>
    <w:p>
      <w:pPr>
        <w:spacing w:after="0" w:line="127"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hospitals, ASCs, physicians, or others purchasing or using our products, even if our products were not the actual cause of such injury or death. We may choose to settle any claims to avoid fault and complication not due to failure of our products. An adverse outcome involving one of our products could result in reduced market acceptance and demand for all of our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13"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We are required to file adverse event reports under Medical Device Reporting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2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5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commercial team, consultants, commercial partners, distributors, and vendors may engage in fraudulent or illegal activity. Misconduct by these parties could include intentional, reckless or negligent conduct, or disclosure of unauthorized activities to us that violates: (i) FDA laws and laws of other similar foreign regulatory bodies, including those laws requiring the reporting of true, complete and accurate information to such regulators; (ii) manufacturing standards; (iii) healthcare fraud and abuse laws, including anti-kickback law and patient inducement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1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imposition of a corporate integrity agreement, additional integrity reporting, compliance and oversight obligations, possible exclusion from participation in Medicare, Medicaid and other federal healthcare programs, contractual damages, reputational harm, diminished profits and future earnings and curtailment of operations, any of which could materially and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2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5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supply chain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materially and adversely our business, financial condition and results of operations.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These operations are permitted by regulatory authorities, and the resultant waste materials are disposed of in material compliance with environmental laws and regulations. Using hazardous substances in our operations exposes us to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t>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materially and adversely affect our business, financial condition and results of operation.</w:t>
      </w:r>
    </w:p>
    <w:p>
      <w:pPr>
        <w:spacing w:after="0" w:line="1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or may in the future become subject to, ever-evolving federal, state, and foreign laws and regulations imposing obligations on how we collect, store, use and process information collected from or about individuals or their procedures using our products. Our or our vendors’ actual or perceived failure to comply with such obligations could materially and adversely our business. Ensuring compliance with such legal requirements could also impair our efforts to maintain and expand our customer base, and thereby decrease our revenue.</w:t>
      </w:r>
    </w:p>
    <w:p>
      <w:pPr>
        <w:spacing w:after="0" w:line="180"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In the conduct of our business, we may at times process personal information, including health-related personal information including from and about patients, as well as our employees and business contacts.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In addition to specific healthcare laws and regulations, the U.S. federal government and various states have adopted or proposed laws, regulations, guidelines, and rules with respect to the collection, distribution, use, and storage of personal information of patients. We also depend on a number of third party vendors in relation to the operation of our business, a number of which process personal information on our behalf.</w:t>
      </w:r>
    </w:p>
    <w:p>
      <w:pPr>
        <w:spacing w:after="0" w:line="108" w:lineRule="exact"/>
        <w:rPr>
          <w:sz w:val="20"/>
          <w:szCs w:val="20"/>
          <w:color w:val="auto"/>
        </w:rPr>
      </w:pPr>
    </w:p>
    <w:p>
      <w:pPr>
        <w:ind w:right="100" w:firstLine="374"/>
        <w:spacing w:after="0" w:line="252"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United States, HIPAA imposes data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requires covered entities and business associates to, among other things, develop and maintain policies with respect to the protection of, use and disclosure of protected health information (PHI). To the extent we create, receive, maintain or transmit PHI on behalf of covered entity customers or other third parties as a business associate under HIPAA, we are required to comply with applicable provisions of the HIPAA privacy, security and breach notification rules. HIPAA imposes, among other things, certain standards relating to the privacy, security, and breach reporting of individually identifiable health information. To the extent we are found to be out of compliance with HIPAA, we could face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3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Furthermore, violation of consumers’ privacy rights or failure to take appropriate steps to keep consumers’ personal information secure may constitute unfair and/or deceptive acts or practices in or affecting commerce in violation of Section 5(a) of the Federal Trade Commission Act, including entities subject to HIPAA.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particularly strong safeguards.</w:t>
      </w:r>
    </w:p>
    <w:p>
      <w:pPr>
        <w:spacing w:after="0" w:line="116"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In addition, in recent years, certain states have adopted or modified data privacy and security laws and regulations that may apply to our business. For example, the California Consumer Privacy Act (CCPA) requires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The enactment of the CCPA is prompting a wave of similar legislative developments in other states in the United States, which creates a patchwork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40"/>
        <w:spacing w:after="0" w:line="254" w:lineRule="auto"/>
        <w:rPr>
          <w:sz w:val="20"/>
          <w:szCs w:val="20"/>
          <w:color w:val="auto"/>
        </w:rPr>
      </w:pPr>
      <w:r>
        <w:rPr>
          <w:rFonts w:ascii="Times New Roman" w:cs="Times New Roman" w:eastAsia="Times New Roman" w:hAnsi="Times New Roman"/>
          <w:sz w:val="18"/>
          <w:szCs w:val="18"/>
          <w:color w:val="auto"/>
        </w:rPr>
        <w:t>overlapping but different state laws. For example, since the CCPA went into effect, comprehensive privacy statutes that share similarities with the CCPA are now in effect and enforceable in numerous states, and will soon be enforceable in several other states as well. Similar laws have been proposed in many other states and at the federal level as well. Certain states have also enacted new laws regulating specific types of personal information, such as health data, including the Washington My Health My Data Act and Nevada’s Senate Bill 370. In the event we are subject to such laws, they impose, among other things, onerous notice and consent obligations, and prohibit certain personal information processing. To the extent we are found to be out of compliance with such laws, we could face negative publicity, government investigations and enforcement actions, claims by third parties (including class action lawsuits and private litigation) and damage to our reputation, any of which could have a material adverse effect on our business, financial condition and results of operations. As a result, our processing of health data in such states may subject us to additional compliance obligations and expose us to increased risk of liability.</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Additionally, laws, regulations, and standards covering marketing, advertising, and other activities conducted by telephone, email, mobile devices, and the internet may be or become applicable to our business. If we fail to comply with these laws, regulations, and standards, we could face liability, reputational harm, and experience other impacts that could have a material adverse effect on our business.</w:t>
      </w:r>
    </w:p>
    <w:p>
      <w:pPr>
        <w:spacing w:after="0" w:line="95"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Further, laws in all 50 U.S. states require businesses to provide notice to consumers whose personal information has been disclosed as a result of a data breach. These laws are not consistent, and compliance in the event of a widespread data breach may be difficult and costly. We also may be contractually required to notify consumers or other counterparties of a security breach. Regardless of our contractual protections, any actual or perceived security breach or breach of our contractual obligations could harm our reputation and brand, expose us to potential liability or require us to expend significant resources on data security and in responding to any such actual or perceived breach.</w:t>
      </w:r>
    </w:p>
    <w:p>
      <w:pPr>
        <w:spacing w:after="0" w:line="11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in which we do business. These laws are in some cases relatively new and the interpretation and application of these laws are uncertain, may be inconsistent with or restrict our collection, storage, transfer, use and disclosure of personal information, and may require changes to our data processing practices and policies, including the acceptance of more onerous obligations in our contracts or additional costs, and we may be unable to make such changes and modifications in a commercially reasonable manner, or at all.</w:t>
      </w:r>
    </w:p>
    <w:p>
      <w:pPr>
        <w:spacing w:after="0" w:line="11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This risk is enhanced in certain jurisdictions and, as we expand our operations domestically and internationally, we may be subject to additional laws in other jurisdictions. 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by U.S. federal and state regulatory authorities, fines and penalties, claims, proceedings or actions against us by individuals, consumer rights groups, government agencies, or others and we could incur significant costs in investigating and defending such claims, orders to make changes to our business, and/or adverse publicity, including by consumer advocacy groups and other private parties, and could cause our customers, their patients, and other healthcare professionals to lose trust in us, which could materially and adversely affect our reputation and have a material adverse effect on our business, financial condition and results of operations.</w:t>
      </w:r>
    </w:p>
    <w:p>
      <w:pPr>
        <w:spacing w:after="0" w:line="10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government shutdowns or global health concerns could hinder their ability to hire, retain or deploy key leadership and other personnel, prevent new or modified products from being developed, reviewed, approved or commercialized in a timely manner or at all, which could materially and adversely affect our business.</w:t>
      </w:r>
    </w:p>
    <w:p>
      <w:pPr>
        <w:spacing w:after="0" w:line="175"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medical devices or modifications to be approved or cleared by necessary government agencies, which would materially and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The price of our stock may be volatile, and you could lose all or part of your investment.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112"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trials and clinical trials of our current and future products or those of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medical device sector;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in ownership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including litigation by current or former employees, alleging wrongful termination, sexual harassment, whistleblower, or other claims;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 which could also cause you to lose all or part of your investment.</w:t>
      </w:r>
    </w:p>
    <w:p>
      <w:pPr>
        <w:spacing w:after="0" w:line="94"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materially and adversely affect our business.</w:t>
      </w:r>
    </w:p>
    <w:p>
      <w:pPr>
        <w:spacing w:after="0" w:line="95"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Nasdaq, an active, liquid and orderly trading market for our shares may not be sustained. The trading market for our common stock has been, and may continue to be, volatile. The lack of a sustained active market may impair your ability to sell your shares at the time you wish to sell them or at a price that you consider reasonable. The lack of a sustained active market may also reduce the fair market value of your shares. Furthermore, a less active market may also impair our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ind w:right="620"/>
        <w:spacing w:after="0" w:line="282" w:lineRule="auto"/>
        <w:rPr>
          <w:sz w:val="20"/>
          <w:szCs w:val="20"/>
          <w:color w:val="auto"/>
        </w:rPr>
      </w:pPr>
      <w:r>
        <w:rPr>
          <w:rFonts w:ascii="Times New Roman" w:cs="Times New Roman" w:eastAsia="Times New Roman" w:hAnsi="Times New Roman"/>
          <w:sz w:val="18"/>
          <w:szCs w:val="18"/>
          <w:color w:val="auto"/>
        </w:rPr>
        <w:t>ability to raise capital by selling shares of our common stock and may impair our ability to enter into strategic collaborations or acquire companies, technologies, or other assets by using our shares of common stock as consideration.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satisfy the continued listing requirements of Nasdaq.</w:t>
      </w:r>
    </w:p>
    <w:p>
      <w:pPr>
        <w:spacing w:after="0" w:line="22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clear market restrictions and lock-up agreements entered into in connection with our IPO will expire 180 days after May 7, 2026. When this restricted period expires, we and our securityholders subject to lock-up agreements will be able to sell shares in the public market. In addition, BofA Securities, Inc., J.P. Morgan Securities LLC and Goldman Sachs &amp; Co. LLC may, in their sole discretion, release all or some portion of the shares subject to lock-up agreements at any time and for any reason. Sales of a substantial number of such shares upon expiration of the lock-up agreement, the perception that such sales may occur, or early release of these agreements, could cause our market price to fall or make it more difficult for you to sell your common stock at a time and price that you deem appropriate.</w:t>
      </w:r>
    </w:p>
    <w:p>
      <w:pPr>
        <w:spacing w:after="0" w:line="12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Moreover holders of an aggregate of approximately 22.0 million shares of our common stock have rights, subject to certain conditions, to require us to file registration statements covering their shares or to include their shares in registration statements that we may file for ourselves or other stockholders. We also aim to register all shares of common stock that we may issue under our equity incentive plans. Once we register these shares, they can be freely sold in the public market upon issuance, subject to volume limitations applicable to affiliates and the lock-up agreements.</w:t>
      </w:r>
    </w:p>
    <w:p>
      <w:pPr>
        <w:spacing w:after="0" w:line="99" w:lineRule="exact"/>
        <w:rPr>
          <w:sz w:val="20"/>
          <w:szCs w:val="20"/>
          <w:color w:val="auto"/>
        </w:rPr>
      </w:pPr>
    </w:p>
    <w:p>
      <w:pPr>
        <w:jc w:val="both"/>
        <w:ind w:right="560" w:firstLine="374"/>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0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As of May 31, 2026, our executive officers, directors, holders of 5% or more of our capital stock, and their respective affiliates beneficially owned a significant percentage of our outstanding common stock. As a result, such persons, to the extent they act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We are an “emerging growth company,” and a “smaller reporting company,” and we cannot be certain if the reduced reporting requirements applicable to emerging growth companies will make our common stock less attractive to investors.</w:t>
      </w:r>
    </w:p>
    <w:p>
      <w:pPr>
        <w:spacing w:after="0" w:line="124"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95" w:lineRule="exact"/>
        <w:rPr>
          <w:sz w:val="20"/>
          <w:szCs w:val="20"/>
          <w:color w:val="auto"/>
        </w:rPr>
      </w:pPr>
    </w:p>
    <w:p>
      <w:pPr>
        <w:ind w:left="760" w:right="20" w:hanging="378"/>
        <w:spacing w:after="0" w:line="312" w:lineRule="auto"/>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in our public disclosures;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17" w:lineRule="exact"/>
        <w:rPr>
          <w:rFonts w:ascii="Times New Roman" w:cs="Times New Roman" w:eastAsia="Times New Roman" w:hAnsi="Times New Roman"/>
          <w:sz w:val="18"/>
          <w:szCs w:val="18"/>
          <w:color w:val="auto"/>
        </w:rPr>
      </w:pPr>
    </w:p>
    <w:p>
      <w:pPr>
        <w:ind w:left="760" w:right="72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public disclosures, including in our periodic reports and proxy statements;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9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fiscal year ended December 31, 2031).</w:t>
      </w:r>
    </w:p>
    <w:p>
      <w:pPr>
        <w:spacing w:after="0" w:line="99" w:lineRule="exact"/>
        <w:rPr>
          <w:sz w:val="20"/>
          <w:szCs w:val="20"/>
          <w:color w:val="auto"/>
        </w:rPr>
      </w:pPr>
    </w:p>
    <w:p>
      <w:pPr>
        <w:ind w:right="380" w:firstLine="374"/>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1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If we are unable to design and maintain effective internal control over financial reporting, our investors may lose confidence in the accuracy and completeness of our financial reports, which could adversely affect our stock price.</w:t>
      </w:r>
    </w:p>
    <w:p>
      <w:pPr>
        <w:spacing w:after="0" w:line="175" w:lineRule="exact"/>
        <w:rPr>
          <w:sz w:val="20"/>
          <w:szCs w:val="20"/>
          <w:color w:val="auto"/>
        </w:rPr>
      </w:pPr>
    </w:p>
    <w:p>
      <w:pPr>
        <w:ind w:right="440" w:firstLine="374"/>
        <w:spacing w:after="0" w:line="266" w:lineRule="auto"/>
        <w:rPr>
          <w:sz w:val="20"/>
          <w:szCs w:val="20"/>
          <w:color w:val="auto"/>
        </w:rPr>
      </w:pPr>
      <w:r>
        <w:rPr>
          <w:rFonts w:ascii="Times New Roman" w:cs="Times New Roman" w:eastAsia="Times New Roman" w:hAnsi="Times New Roman"/>
          <w:sz w:val="18"/>
          <w:szCs w:val="18"/>
          <w:color w:val="auto"/>
        </w:rPr>
        <w:t>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95"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review of inputs in the calculation of net loss per share attributable to common stockholders. The material weakness resulted in a revision to the weighted average number of shares and net loss per share attributable to common stock holders within the statement of operations and related disclosures as of and for the year ended December 31, 2025. Additionally, this material weakness could result in misstatements to net loss per share attributable to common stockholders and related disclosures that would result in a material misstatement to the annual or interim financial statements that would not be prevented or detected.</w:t>
      </w:r>
    </w:p>
    <w:p>
      <w:pPr>
        <w:spacing w:after="0" w:line="116"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We are taking steps to remediate the material weakness and to strengthen our internal control over financial reporting, including reviewing and prioritizing this control deficiency for remediation. The material weakness will not be considered remediated until management completes the design and implementation of the controls and the controls operate for a sufficient period of time and management has concluded, through testing, that these controls are effective. The measures we will take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Our management will be required to evaluate the effectiveness of our internal control over financial reporting beginning with our Annual Report on Form 10-K for the year ended December 31, 2027. As part of that evaluation, we may identify additional control deficiencies that are determined to constitute one or more material weaknesses. In addition, there can be no assurance that our remediation efforts will be successful, that our internal control over financial reporting will be effective as a result of these efforts, or that any future control deficiencies identified may not be material weaknesses that would be required to be reported in future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Loan and Security Agreement and may be limited by the terms of any future debt or preferred securities we issue or any future credit facilities we enter into. Accordingly, you will have to, for the foreseeable future, rely on sales of your common stock after price appreciation, which may never occur, as the only way to realize any future gains on your investments.</w:t>
      </w:r>
    </w:p>
    <w:p>
      <w:pPr>
        <w:spacing w:after="0" w:line="10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75"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08"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a majority of the voting power of the issued and outstanding capital stock;</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12"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5" w:name="page86"/>
    <w:bookmarkEnd w:id="85"/>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16"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courts have exclusive jurisdiction.</w:t>
      </w:r>
    </w:p>
    <w:p>
      <w:pPr>
        <w:spacing w:after="0" w:line="126"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Such amended and restated bylaws further provide that the federal district courts of the United States of America will be the exclusive forum for resolving any complaint asserting a cause of action arising under the Securities Act, against any person in connection with any offering of the Company’s securities, including, without limitation and for the avoidance of doubt, any auditor, underwriter, expert, control person, or other defendant.</w:t>
      </w:r>
    </w:p>
    <w:p>
      <w:pPr>
        <w:spacing w:after="0" w:line="10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These exclusive-forum provisions may increase costs for a stockholder to bring a claim and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materially and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22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6"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effective internal control over financial reporting, our ability to produce accurate financial statements on a timely basis could be impaired.</w:t>
      </w:r>
    </w:p>
    <w:p>
      <w:pPr>
        <w:spacing w:after="0" w:line="175"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we identified a material weakness in our internal control over financial reporting. Specifically, we did not design and maintain effective controls over the review of the inputs in the calculation of net loss per share attributable to common stockholders. The material weakness resulted in a revision to the weighted average number of shares and net loss per share attributable to common stockholders within the statement of operations and related disclosures as of and for the year ended December 31, 2025. Additionally, this material weakness could result in misstatements to net loss per share attributable to common stockholders and related disclosures that would result in a material misstatement to the annual or interim financial statements that would not be prevented or detected. We are in the process of implementing remediation measures, including the establishment of a control over the review of the calculation of weighted-average shares outstanding and net loss per share. The material weakness will not be considered remediated until management completes the design and implementation of the controls and the controls operate for a sufficient period of time and management has concluded, through testing, that these controls are effective.</w:t>
      </w:r>
    </w:p>
    <w:p>
      <w:pPr>
        <w:spacing w:after="0" w:line="121"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21"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as a public company we are required to incur additional costs and obligations in order to comply with SEC rules that implement Section 404 of the Sarbanes-Oxley Act. Under these rules, beginning with our Annual Report on Form 10-K for the year ended December 31, 2027,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0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additional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If we are not able to remediate this material weakness and comply with the requirements of Section 404 of the Sarbanes-Oxley Act in a timely manner, or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harm our business, financial condition and results of operations.</w:t>
      </w:r>
    </w:p>
    <w:p>
      <w:pPr>
        <w:spacing w:after="0" w:line="2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and results of operations. Recent macroeconomic conditions have been adversely impacted by geopolitical instability and military hostilities in multiple geographies and monetary and financial uncertainties.</w:t>
      </w:r>
    </w:p>
    <w:p>
      <w:pPr>
        <w:spacing w:after="0" w:line="11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imposition of tariffs and other trade measures, supply chain constraints, logistics challenges, liquidity concerns in the broader financial services industry and fluctuations in labor availability.</w:t>
      </w:r>
    </w:p>
    <w:p>
      <w:pPr>
        <w:spacing w:after="0" w:line="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information.</w:t>
      </w:r>
    </w:p>
    <w:p>
      <w:pPr>
        <w:spacing w:after="0" w:line="15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Issues in the use of AI,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generative AI tools throughout our business, including into our information systems. Our vendors may incorporate generative AI tools into their services and offerings without disclosing this use to us, and the providers of these generative AI tools may not meet existing or rapidly evolving regulatory or industry standards with respect to data privacy and data protection and may inhibit our or our vendors’ ability to maintain an adequate level of service and experience. Any integration of AI in our or any third party’s operations, products or services is expected to pose new or unknown cybersecurity risks and challenges. If we, our vendors, or our third-party partners experience an actual or perceived breach or data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2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or certain other tax attributes to offset future taxable income or income taxes, as applicable, may be subject to certain limitations.</w:t>
      </w:r>
    </w:p>
    <w:p>
      <w:pPr>
        <w:spacing w:after="0" w:line="15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U.S. federal net operating loss (NOL) carryforwards of approximately $127.4 million and $88.4 million, respectively. For U.S. federal income tax purposes, NOLs generated in tax years beginning before January 1, 2018, can be carried forward for up to 20 years, and NOLs generated in tax years beginning after December 31, 2017, can be carried forward indefinitely but can only offset up to 80% of taxable income in any given tax year beginning after December 31, 2020. Of the total U.S. federal NOL carryforward as of December 31, 2025, $22.1 million will begin to expire in 2027 and $105.3 million will not expire but will be subject to the 80% utilization limit.</w:t>
      </w:r>
    </w:p>
    <w:p>
      <w:pPr>
        <w:spacing w:after="0" w:line="1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U.S. federal NOL carryforwards could expire unused, to the extent subject to expiration, and be unavailable to offset future taxable income because of their limited duration or because of restrictions under U.S. federal law.</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8" w:name="page89"/>
    <w:bookmarkEnd w:id="88"/>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(by value) over a rolling three-year period), the corporation’s ability to use its pre-change NOL carryforwards or certain other pre-change tax attributes to offset its post-change taxable income or income taxes, as applicable, may be limited. Similar rules may apply under state tax laws. We believe (but have not undertaken any formal analysis or other assessment to determine) that no such ownership changes have occurred to date. Our ability to utilize our NOL carryforwards or other tax attributes to offset future taxable income or income taxes, as applicable, may be limited if such ownership changes have occurred. Furthermore, we may experience ownership changes as a result of our initial public offering or in the future as a result of subsequent shifts in our stock ownership, some of which are outside our control, which could limit (or further limit) our ability to use our NOL carryforwards and other tax attributes. We have not conducted any studies to determine future annual limitations, if any, that could result from such changes in our stock ownership. Any such limitations on our ability to utilize our NOL carryforwards and certain other tax attributes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22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The likelihood of any such changes being enacted or implemented is uncertain. We are currently unable to predict whether such changes will occur and, if so, the ultimate impact on our business. To the extent that such changes have a negative impact on us, our customers or our suppliers, including as a result of related uncertainty, these changes could have a material adverse effect on our business, financial condition and results of operations.</w:t>
      </w:r>
    </w:p>
    <w:p>
      <w:pPr>
        <w:spacing w:after="0" w:line="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materially and adversely affect our results of operations.</w:t>
      </w:r>
    </w:p>
    <w:p>
      <w:pPr>
        <w:spacing w:after="0" w:line="15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may not collect sales and use, value added, and similar taxes in all jurisdictions in which we have sales, based on our belief that such taxes are not applicable. Sales and use, value added, and similar tax laws and rates vary greatly by jurisdiction. Any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materially and adversely affect the results of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medical device and healthcare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9"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None of the transactions described below were issued in a registered offering under the Securities Act and these transactions did not involve any underwriters, underwriting discounts or commissions. The offers, sales, and issuances of the securities described in such sections were deemed to be exempt from registration under Section 4(a)(2) of the Securities Act as transactions by an issuer not involving a public offering or under Rule 701 promulgated under the Securities Act, as transactions under compensatory benefits plans and contracts relating to compensation. The recipients of the securities in each of these transactions in such sections represented their intentions to acquire the securities for investment only and not with a view to or for sale in connection with any distribution thereof, and appropriate legends were placed upon the securities issued in these transactions. All recipients had adequate access, through their relationships with us, to information about us. The sales of these securities were made without any general solicitation or advertising.</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From January 1, 2026 through March 31, 2026, we issued and sold the following unregistered securities:</w:t>
      </w:r>
    </w:p>
    <w:p>
      <w:pPr>
        <w:spacing w:after="0" w:line="117" w:lineRule="exact"/>
        <w:rPr>
          <w:sz w:val="20"/>
          <w:szCs w:val="20"/>
          <w:color w:val="auto"/>
        </w:rPr>
      </w:pPr>
    </w:p>
    <w:p>
      <w:pPr>
        <w:ind w:left="760" w:right="10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stock options and stock awards to employees, directors and consultants under our 2022 Equity Incentive Plan covering an aggregate of 524,180 shares of common stock, at a weighted average exercise price of $7.91 per share. Of these, no options were cancelled without being exercised.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left="760" w:right="5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and sold an aggregate of 119,226 shares of common stock to employees, directors and consultants for cash consideration in the aggregate amount of $0.4 million upon the exercise of stock options.</w:t>
      </w:r>
    </w:p>
    <w:p>
      <w:pPr>
        <w:spacing w:after="0" w:line="53"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convertible promissory notes in an aggregate principal amount of $40.0 million to accredited investors, which converted into 3,333,324 shares of the common stock in connection with the completion of our IPO in May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from our Public Offering of Common Stock</w:t>
      </w:r>
    </w:p>
    <w:p>
      <w:pPr>
        <w:spacing w:after="0" w:line="119" w:lineRule="exact"/>
        <w:rPr>
          <w:sz w:val="20"/>
          <w:szCs w:val="20"/>
          <w:color w:val="auto"/>
        </w:rPr>
      </w:pPr>
    </w:p>
    <w:p>
      <w:pPr>
        <w:ind w:left="380" w:right="40"/>
        <w:spacing w:after="0" w:line="282" w:lineRule="auto"/>
        <w:rPr>
          <w:sz w:val="20"/>
          <w:szCs w:val="20"/>
          <w:color w:val="auto"/>
        </w:rPr>
      </w:pPr>
      <w:r>
        <w:rPr>
          <w:rFonts w:ascii="Times New Roman" w:cs="Times New Roman" w:eastAsia="Times New Roman" w:hAnsi="Times New Roman"/>
          <w:sz w:val="18"/>
          <w:szCs w:val="18"/>
          <w:color w:val="auto"/>
        </w:rPr>
        <w:t>On May 11, 2026, we completed our IPO of common stock, pursuant to which we issued and sold 10,000,000 shares of our common stock at a public offering price of $15.00 per share.</w:t>
      </w:r>
    </w:p>
    <w:p>
      <w:pPr>
        <w:spacing w:after="0" w:line="162" w:lineRule="exact"/>
        <w:rPr>
          <w:sz w:val="20"/>
          <w:szCs w:val="20"/>
          <w:color w:val="auto"/>
        </w:rPr>
      </w:pPr>
    </w:p>
    <w:p>
      <w:pPr>
        <w:ind w:left="380" w:right="580"/>
        <w:spacing w:after="0" w:line="282" w:lineRule="auto"/>
        <w:rPr>
          <w:sz w:val="20"/>
          <w:szCs w:val="20"/>
          <w:color w:val="auto"/>
        </w:rPr>
      </w:pPr>
      <w:r>
        <w:rPr>
          <w:rFonts w:ascii="Times New Roman" w:cs="Times New Roman" w:eastAsia="Times New Roman" w:hAnsi="Times New Roman"/>
          <w:sz w:val="18"/>
          <w:szCs w:val="18"/>
          <w:color w:val="auto"/>
        </w:rPr>
        <w:t>All shares issued and sold in the IPO were registered under the Securities Act pursuant to a Registration Statement on Form S-1 (File No. 333-295160), as amended (the “Registration Statement”), declared effective by the SEC on May 7, 2026.</w:t>
      </w:r>
    </w:p>
    <w:p>
      <w:pPr>
        <w:spacing w:after="0" w:line="16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received net proceeds of approximately $134.5 million after deducting underwriting discounts and commissions of $10.5 million and offering expenses of $5.0 million. None of the expenses associated with the IPO were paid to directors, officers, persons owning 10% or more of any class of equity securities, or to our affiliates. BofA Securities, Inc., J.P. Morgan Securities LLC, Goldman Sachs &amp; Co. LLC, BTIG, LLC, Nomura Securities International, Inc. and WR Securities, LLC acted as managing underwriters for the offering.</w:t>
      </w:r>
    </w:p>
    <w:p>
      <w:pPr>
        <w:spacing w:after="0" w:line="180"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The net proceeds from our IPO have been invested primarily in savings and money market accounts. There has been no material change in the expected use of the net proceeds from our IPO as described in our Prospectus filed pursuant to Rule 424(b)(4) under the Securities Act with the SEC on May 8,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620" w:hanging="238"/>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right="300" w:firstLine="382"/>
        <w:spacing w:after="0" w:line="282" w:lineRule="auto"/>
        <w:tabs>
          <w:tab w:leader="none" w:pos="6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none of our officers or directors (as defined in Rule 16a-1 under the Exchange Act) adopted or terminated a “Rule 10b5-1 trading arrangement” or “non-Rule 10b5-1 trading arrangement” (as those terms are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0" w:type="dxa"/>
            <w:vAlign w:val="bottom"/>
            <w:gridSpan w:val="4"/>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 / Furnished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auto"/>
            </w:tcBorders>
            <w:gridSpan w:val="4"/>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4220" w:type="dxa"/>
            <w:vAlign w:val="bottom"/>
            <w:gridSpan w:val="5"/>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Certificate of Incorporation.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5/11/2026</w:t>
            </w:r>
          </w:p>
        </w:tc>
        <w:tc>
          <w:tcPr>
            <w:tcW w:w="1400" w:type="dxa"/>
            <w:vAlign w:val="bottom"/>
            <w:gridSpan w:val="3"/>
          </w:tcPr>
          <w:p>
            <w:pPr>
              <w:jc w:val="center"/>
              <w:ind w:left="55"/>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74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Amended and Restated Bylaws.</w:t>
              </w:r>
            </w:hyperlink>
          </w:p>
        </w:tc>
        <w:tc>
          <w:tcPr>
            <w:tcW w:w="4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5/11/2026</w:t>
            </w:r>
          </w:p>
        </w:tc>
        <w:tc>
          <w:tcPr>
            <w:tcW w:w="1400" w:type="dxa"/>
            <w:vAlign w:val="bottom"/>
            <w:gridSpan w:val="3"/>
          </w:tcPr>
          <w:p>
            <w:pPr>
              <w:jc w:val="center"/>
              <w:ind w:left="55"/>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4220" w:type="dxa"/>
            <w:vAlign w:val="bottom"/>
            <w:gridSpan w:val="5"/>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Specimen Common Stock Certificate of the Registrant.</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4/17/2026</w:t>
            </w:r>
          </w:p>
        </w:tc>
        <w:tc>
          <w:tcPr>
            <w:tcW w:w="1400" w:type="dxa"/>
            <w:vAlign w:val="bottom"/>
            <w:gridSpan w:val="3"/>
          </w:tcPr>
          <w:p>
            <w:pPr>
              <w:jc w:val="center"/>
              <w:ind w:left="55"/>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300" w:type="dxa"/>
            <w:vAlign w:val="bottom"/>
            <w:tcBorders>
              <w:top w:val="single" w:sz="8" w:color="0000FF"/>
            </w:tcBorders>
          </w:tcPr>
          <w:p>
            <w:pPr>
              <w:spacing w:after="0"/>
              <w:rPr>
                <w:sz w:val="24"/>
                <w:szCs w:val="24"/>
                <w:color w:val="auto"/>
              </w:rPr>
            </w:pPr>
          </w:p>
        </w:tc>
        <w:tc>
          <w:tcPr>
            <w:tcW w:w="1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0"/>
        </w:trPr>
        <w:tc>
          <w:tcPr>
            <w:tcW w:w="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6"/>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169"/>
        </w:trPr>
        <w:tc>
          <w:tcPr>
            <w:tcW w:w="20" w:type="dxa"/>
            <w:vAlign w:val="bottom"/>
          </w:tcPr>
          <w:p>
            <w:pPr>
              <w:spacing w:after="0"/>
              <w:rPr>
                <w:sz w:val="14"/>
                <w:szCs w:val="14"/>
                <w:color w:val="auto"/>
              </w:rPr>
            </w:pPr>
          </w:p>
        </w:tc>
        <w:tc>
          <w:tcPr>
            <w:tcW w:w="8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0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Warrant (Loan A) issued December 29, 2023 to lender.</w:t>
              </w:r>
            </w:hyperlink>
          </w:p>
        </w:tc>
        <w:tc>
          <w:tcPr>
            <w:tcW w:w="680" w:type="dxa"/>
            <w:vAlign w:val="bottom"/>
            <w:gridSpan w:val="10"/>
          </w:tcPr>
          <w:p>
            <w:pPr>
              <w:spacing w:after="0"/>
              <w:rPr>
                <w:sz w:val="14"/>
                <w:szCs w:val="14"/>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3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Warrant (Loan B) issued December 29, 2023 to lender.</w:t>
              </w:r>
            </w:hyperlink>
          </w:p>
        </w:tc>
        <w:tc>
          <w:tcPr>
            <w:tcW w:w="20" w:type="dxa"/>
            <w:vAlign w:val="bottom"/>
            <w:tcBorders>
              <w:bottom w:val="single" w:sz="8" w:color="0000EE"/>
            </w:tcBorders>
          </w:tcPr>
          <w:p>
            <w:pPr>
              <w:spacing w:after="0"/>
              <w:rPr>
                <w:sz w:val="24"/>
                <w:szCs w:val="24"/>
                <w:color w:val="auto"/>
              </w:rPr>
            </w:pPr>
          </w:p>
        </w:tc>
        <w:tc>
          <w:tcPr>
            <w:tcW w:w="700" w:type="dxa"/>
            <w:vAlign w:val="bottom"/>
            <w:gridSpan w:val="11"/>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6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Form of Indemnification Agreement between the Registrant and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each of its directors and executive officers.</w:t>
              </w:r>
            </w:hyperlink>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31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2007 Stock Option Plan, as amended.</w:t>
              </w:r>
            </w:hyperlink>
          </w:p>
        </w:tc>
        <w:tc>
          <w:tcPr>
            <w:tcW w:w="1600" w:type="dxa"/>
            <w:vAlign w:val="bottom"/>
            <w:gridSpan w:val="17"/>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46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Stock Option Agreement under the 2007 Stock Option</w:t>
              </w:r>
            </w:hyperlink>
          </w:p>
        </w:tc>
        <w:tc>
          <w:tcPr>
            <w:tcW w:w="10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Plan, as amended.</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2022 Equity Incentive Plan, as amended.</w:t>
              </w:r>
            </w:hyperlink>
          </w:p>
        </w:tc>
        <w:tc>
          <w:tcPr>
            <w:tcW w:w="20" w:type="dxa"/>
            <w:vAlign w:val="bottom"/>
            <w:tcBorders>
              <w:bottom w:val="single" w:sz="8" w:color="0000EE"/>
            </w:tcBorders>
          </w:tcPr>
          <w:p>
            <w:pPr>
              <w:spacing w:after="0"/>
              <w:rPr>
                <w:sz w:val="24"/>
                <w:szCs w:val="24"/>
                <w:color w:val="auto"/>
              </w:rPr>
            </w:pPr>
          </w:p>
        </w:tc>
        <w:tc>
          <w:tcPr>
            <w:tcW w:w="1720" w:type="dxa"/>
            <w:vAlign w:val="bottom"/>
            <w:gridSpan w:val="18"/>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4"/>
                <w:szCs w:val="24"/>
                <w:color w:val="auto"/>
              </w:rPr>
            </w:pPr>
          </w:p>
        </w:tc>
        <w:tc>
          <w:tcPr>
            <w:tcW w:w="4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Stock Option Agreement under the 2022 Equity</w:t>
              </w:r>
            </w:hyperlink>
          </w:p>
        </w:tc>
        <w:tc>
          <w:tcPr>
            <w:tcW w:w="56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Incentive Plan, as amended.</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4"/>
                <w:szCs w:val="24"/>
                <w:color w:val="auto"/>
              </w:rPr>
            </w:pPr>
          </w:p>
        </w:tc>
        <w:tc>
          <w:tcPr>
            <w:tcW w:w="4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Restricted Stock Purchase Agreement under the 2022</w:t>
              </w:r>
            </w:hyperlink>
          </w:p>
        </w:tc>
        <w:tc>
          <w:tcPr>
            <w:tcW w:w="18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Equity Incentive Plan, as amended.</w:t>
              </w:r>
            </w:hyperlink>
          </w:p>
        </w:tc>
        <w:tc>
          <w:tcPr>
            <w:tcW w:w="2120" w:type="dxa"/>
            <w:vAlign w:val="bottom"/>
            <w:gridSpan w:val="21"/>
          </w:tcPr>
          <w:p>
            <w:pPr>
              <w:spacing w:after="0"/>
              <w:rPr>
                <w:sz w:val="17"/>
                <w:szCs w:val="17"/>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2026 Incentive Award Plan.</w:t>
              </w:r>
            </w:hyperlink>
          </w:p>
        </w:tc>
        <w:tc>
          <w:tcPr>
            <w:tcW w:w="2660" w:type="dxa"/>
            <w:vAlign w:val="bottom"/>
            <w:gridSpan w:val="24"/>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4"/>
                <w:szCs w:val="24"/>
                <w:color w:val="auto"/>
              </w:rPr>
            </w:pPr>
          </w:p>
        </w:tc>
        <w:tc>
          <w:tcPr>
            <w:tcW w:w="4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Option Award Agreement under the 2026 Incentive</w:t>
              </w:r>
            </w:hyperlink>
          </w:p>
        </w:tc>
        <w:tc>
          <w:tcPr>
            <w:tcW w:w="30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Award Plan.</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4"/>
                <w:szCs w:val="24"/>
                <w:color w:val="auto"/>
              </w:rPr>
            </w:pPr>
          </w:p>
        </w:tc>
        <w:tc>
          <w:tcPr>
            <w:tcW w:w="47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Form of Restricted Stock Unit Award Agreement under the 2026</w:t>
              </w:r>
            </w:hyperlink>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Incentive Award Plan.</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4700" w:type="dxa"/>
            <w:vAlign w:val="bottom"/>
            <w:gridSpan w:val="32"/>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2026 Employee Stock Purchase Plan.</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4700" w:type="dxa"/>
            <w:vAlign w:val="bottom"/>
            <w:gridSpan w:val="3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Non-Employee Director Compensation Program.</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Restated Employment Agreement between the Registrant and</w:t>
              </w:r>
            </w:hyperlink>
          </w:p>
        </w:tc>
        <w:tc>
          <w:tcPr>
            <w:tcW w:w="2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Richard Foust, dated April 3, 2026.</w:t>
              </w:r>
            </w:hyperlink>
          </w:p>
        </w:tc>
        <w:tc>
          <w:tcPr>
            <w:tcW w:w="20" w:type="dxa"/>
            <w:vAlign w:val="bottom"/>
            <w:tcBorders>
              <w:bottom w:val="single" w:sz="8" w:color="0000EE"/>
            </w:tcBorders>
          </w:tcPr>
          <w:p>
            <w:pPr>
              <w:spacing w:after="0"/>
              <w:rPr>
                <w:sz w:val="17"/>
                <w:szCs w:val="17"/>
                <w:color w:val="auto"/>
              </w:rPr>
            </w:pPr>
          </w:p>
        </w:tc>
        <w:tc>
          <w:tcPr>
            <w:tcW w:w="2120" w:type="dxa"/>
            <w:vAlign w:val="bottom"/>
            <w:gridSpan w:val="21"/>
          </w:tcPr>
          <w:p>
            <w:pPr>
              <w:spacing w:after="0"/>
              <w:rPr>
                <w:sz w:val="17"/>
                <w:szCs w:val="17"/>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Restated Employment Agreement between the Registrant and</w:t>
              </w:r>
            </w:hyperlink>
          </w:p>
        </w:tc>
        <w:tc>
          <w:tcPr>
            <w:tcW w:w="2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Nelson Bunker Curnes, dated April 3, 2026.</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Restated Employment Agreement between the Registrant and</w:t>
              </w:r>
            </w:hyperlink>
          </w:p>
        </w:tc>
        <w:tc>
          <w:tcPr>
            <w:tcW w:w="2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Thomas Jordan Curnes II, dated April 3, 2026.</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Restated Employment Agreement between the Registrant and</w:t>
              </w:r>
            </w:hyperlink>
          </w:p>
        </w:tc>
        <w:tc>
          <w:tcPr>
            <w:tcW w:w="2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Douglas (Doug) Ellison, dated April 3, 2026.</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Restated Employment Agreement between the Registrant and</w:t>
              </w:r>
            </w:hyperlink>
          </w:p>
        </w:tc>
        <w:tc>
          <w:tcPr>
            <w:tcW w:w="2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32"/>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Prashant Rawat, dated April 3, 2026.</w:t>
              </w:r>
            </w:hyperlink>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Restated Employment Agreement between the Registrant and</w:t>
              </w:r>
            </w:hyperlink>
          </w:p>
        </w:tc>
        <w:tc>
          <w:tcPr>
            <w:tcW w:w="2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Chase Leavitt, dated April 3, 2026.</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2"/>
          </w:tcPr>
          <w:p>
            <w:pPr>
              <w:spacing w:after="0"/>
              <w:rPr>
                <w:sz w:val="17"/>
                <w:szCs w:val="17"/>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46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Executive and Key Employee Severance and Change in Control</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Plan.</w:t>
              </w:r>
            </w:hyperlink>
          </w:p>
        </w:tc>
        <w:tc>
          <w:tcPr>
            <w:tcW w:w="20" w:type="dxa"/>
            <w:vAlign w:val="bottom"/>
            <w:tcBorders>
              <w:bottom w:val="single" w:sz="8" w:color="0000EE"/>
            </w:tcBorders>
          </w:tcPr>
          <w:p>
            <w:pPr>
              <w:spacing w:after="0"/>
              <w:rPr>
                <w:sz w:val="17"/>
                <w:szCs w:val="17"/>
                <w:color w:val="auto"/>
              </w:rPr>
            </w:pPr>
          </w:p>
        </w:tc>
        <w:tc>
          <w:tcPr>
            <w:tcW w:w="4300" w:type="dxa"/>
            <w:vAlign w:val="bottom"/>
            <w:gridSpan w:val="29"/>
          </w:tcPr>
          <w:p>
            <w:pPr>
              <w:spacing w:after="0"/>
              <w:rPr>
                <w:sz w:val="17"/>
                <w:szCs w:val="17"/>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45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Registration Rights Agreement among</w:t>
              </w:r>
            </w:hyperlink>
          </w:p>
        </w:tc>
        <w:tc>
          <w:tcPr>
            <w:tcW w:w="1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the Registrant and certain of its stockholders, dated March 5,</w:t>
              </w:r>
            </w:hyperlink>
          </w:p>
        </w:tc>
        <w:tc>
          <w:tcPr>
            <w:tcW w:w="26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19">
              <w:r>
                <w:rPr>
                  <w:rFonts w:ascii="Times New Roman" w:cs="Times New Roman" w:eastAsia="Times New Roman" w:hAnsi="Times New Roman"/>
                  <w:sz w:val="18"/>
                  <w:szCs w:val="18"/>
                  <w:color w:val="0000FF"/>
                  <w:w w:val="98"/>
                </w:rPr>
                <w:t>2025.</w:t>
              </w:r>
            </w:hyperlink>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5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60" w:type="dxa"/>
            <w:vAlign w:val="bottom"/>
            <w:gridSpan w:val="31"/>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467360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 / Furnished</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4/17/2026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333-295709</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333-295709</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333-295709</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333-295709</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4/17/2026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333-295160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40" w:space="100"/>
            <w:col w:w="5280"/>
          </w:cols>
          <w:pgMar w:left="440" w:top="979" w:right="439" w:bottom="1440" w:gutter="0" w:footer="0" w:header="0"/>
        </w:sectPr>
      </w:pPr>
    </w:p>
    <w:bookmarkStart w:id="91" w:name="page92"/>
    <w:bookmarkEnd w:id="91"/>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0" w:type="dxa"/>
            <w:vAlign w:val="bottom"/>
            <w:gridSpan w:val="11"/>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 / Furnished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gridSpan w:val="11"/>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380" w:type="dxa"/>
            <w:vAlign w:val="bottom"/>
            <w:tcBorders>
              <w:top w:val="single" w:sz="8" w:color="auto"/>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Amended and Restated Shareholders’ Agreement among the</w:t>
              </w:r>
            </w:hyperlink>
          </w:p>
        </w:tc>
        <w:tc>
          <w:tcPr>
            <w:tcW w:w="320" w:type="dxa"/>
            <w:vAlign w:val="bottom"/>
            <w:tcBorders>
              <w:top w:val="single" w:sz="8" w:color="auto"/>
            </w:tcBorders>
            <w:gridSpan w:val="6"/>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4/17/2026</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8"/>
                <w:szCs w:val="18"/>
                <w:color w:val="auto"/>
              </w:rPr>
              <w:t>333-295160</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ind w:right="199"/>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Registrant and certain of its stockholders, dated March 5, 2025.</w:t>
              </w:r>
            </w:hyperlink>
          </w:p>
        </w:tc>
        <w:tc>
          <w:tcPr>
            <w:tcW w:w="2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w:t>
            </w:r>
          </w:p>
        </w:tc>
        <w:tc>
          <w:tcPr>
            <w:tcW w:w="38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13a-14(a) and Rule 15d-14(a) under the Securities Exchange Act</w:t>
            </w:r>
          </w:p>
        </w:tc>
        <w:tc>
          <w:tcPr>
            <w:tcW w:w="1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1934, as Adopted Pursuant to 302 of the Sarbanes Oxley Act</w:t>
            </w:r>
          </w:p>
        </w:tc>
        <w:tc>
          <w:tcPr>
            <w:tcW w:w="16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4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42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13a-14(a) and Rule 15d-14(a) under the Securities Exchange Act</w:t>
            </w:r>
          </w:p>
        </w:tc>
        <w:tc>
          <w:tcPr>
            <w:tcW w:w="1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1934, as Adopted Pursuant to 302 of the Sarbanes Oxley Act</w:t>
            </w:r>
          </w:p>
        </w:tc>
        <w:tc>
          <w:tcPr>
            <w:tcW w:w="16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4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62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7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 Oxley Act of</w:t>
            </w:r>
          </w:p>
        </w:tc>
        <w:tc>
          <w:tcPr>
            <w:tcW w:w="24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bottom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60" w:right="5420" w:hanging="937"/>
        <w:spacing w:after="0" w:line="282" w:lineRule="auto"/>
        <w:tabs>
          <w:tab w:leader="none" w:pos="10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21170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97" w:lineRule="exact"/>
        <w:rPr>
          <w:sz w:val="20"/>
          <w:szCs w:val="20"/>
          <w:color w:val="auto"/>
        </w:rPr>
      </w:pPr>
    </w:p>
    <w:p>
      <w:pPr>
        <w:ind w:right="1220" w:firstLine="8"/>
        <w:spacing w:after="0" w:line="375" w:lineRule="auto"/>
        <w:tabs>
          <w:tab w:leader="none" w:pos="1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the registrant has omitted certain of the schedules (or similar attachments) to this exhibit.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79" w:right="439" w:bottom="1440" w:gutter="0" w:footer="0" w:header="0"/>
        </w:sectPr>
      </w:pPr>
    </w:p>
    <w:bookmarkStart w:id="92" w:name="page93"/>
    <w:bookmarkEnd w:id="9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MOBIA MEDICAL,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color w:val="auto"/>
        </w:rPr>
        <w:t>/s/ RICHARD FOUST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Richard Foust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/s/ BUNKER CURNES</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Bunker Curnes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7" w:right="47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Foust,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Mobia Medical,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FOUST</w:t>
            </w:r>
          </w:p>
        </w:tc>
      </w:tr>
      <w:tr>
        <w:trPr>
          <w:trHeight w:val="191"/>
        </w:trPr>
        <w:tc>
          <w:tcPr>
            <w:tcW w:w="3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Richard Foust</w:t>
            </w:r>
          </w:p>
        </w:tc>
      </w:tr>
      <w:tr>
        <w:trPr>
          <w:trHeight w:val="216"/>
        </w:trPr>
        <w:tc>
          <w:tcPr>
            <w:tcW w:w="3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32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Bunker Curnes,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Mobia Medical,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BUNKER CURNES</w:t>
            </w:r>
          </w:p>
        </w:tc>
      </w:tr>
      <w:tr>
        <w:trPr>
          <w:trHeight w:val="191"/>
        </w:trPr>
        <w:tc>
          <w:tcPr>
            <w:tcW w:w="3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Bunker Curnes</w:t>
            </w:r>
          </w:p>
        </w:tc>
      </w:tr>
      <w:tr>
        <w:trPr>
          <w:trHeight w:val="216"/>
        </w:trPr>
        <w:tc>
          <w:tcPr>
            <w:tcW w:w="3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195"/>
        </w:trPr>
        <w:tc>
          <w:tcPr>
            <w:tcW w:w="32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Mobia Medical, Inc. (the “Company”) on Form 10-Q for the fiscal quarter ended March 31, 2026 as filed with the Securities and Exchange Commission on the date hereof (the “Report”), Richard Foust, Chief Executive Officer of the Company, and Bunker Curnes, Chief Financial Officer of the Company, respectively, do each hereby certify, pursuant to 18 U.S.C. § 1350, as adopted pursuant to § 906 of the Sarbanes-Oxley Act of 2002, that:</w:t>
      </w:r>
    </w:p>
    <w:p>
      <w:pPr>
        <w:spacing w:after="0" w:line="180"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FOUST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Foust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BUNKER CURNES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Bunker Curnes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Roman"/>
      <w:start w:val="6"/>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
      <w:numFmt w:val="bullet"/>
      <w:start w:val="1"/>
    </w:lvl>
    <w:lvl w:ilvl="1">
      <w:lvlJc w:val="left"/>
      <w:lvlText w:val="%2"/>
      <w:numFmt w:val="decimal"/>
      <w:start w:val="104"/>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220"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194" Type="http://schemas.openxmlformats.org/officeDocument/2006/relationships/hyperlink" Target="https://www.sec.gov/Archives/edgar/data/1489993/000162828026033685/exhibit31-closing8xk.htm" TargetMode="External"/><Relationship Id="rId195" Type="http://schemas.openxmlformats.org/officeDocument/2006/relationships/hyperlink" Target="https://www.sec.gov/Archives/edgar/data/1489993/000162828026033685/exhibit32-closing8xk.htm" TargetMode="External"/><Relationship Id="rId196" Type="http://schemas.openxmlformats.org/officeDocument/2006/relationships/hyperlink" Target="https://www.sec.gov/Archives/edgar/data/1489993/000162828026025811/exhibit43-sx1.htm" TargetMode="External"/><Relationship Id="rId199" Type="http://schemas.openxmlformats.org/officeDocument/2006/relationships/hyperlink" Target="https://www.sec.gov/Archives/edgar/data/1489993/000162828026025811/exhibit44-sx1.htm" TargetMode="External"/><Relationship Id="rId200" Type="http://schemas.openxmlformats.org/officeDocument/2006/relationships/hyperlink" Target="https://www.sec.gov/Archives/edgar/data/1489993/000162828026025811/exhibit45-sx1.htm" TargetMode="External"/><Relationship Id="rId201" Type="http://schemas.openxmlformats.org/officeDocument/2006/relationships/hyperlink" Target="https://www.sec.gov/Archives/edgar/data/1489993/000162828026025811/exhibit101-sx1.htm" TargetMode="External"/><Relationship Id="rId202" Type="http://schemas.openxmlformats.org/officeDocument/2006/relationships/hyperlink" Target="https://www.sec.gov/Archives/edgar/data/1489993/000162828026025811/exhibit102-sx1.htm" TargetMode="External"/><Relationship Id="rId203" Type="http://schemas.openxmlformats.org/officeDocument/2006/relationships/hyperlink" Target="https://www.sec.gov/Archives/edgar/data/1489993/000162828026025811/exhibit1021-sx1.htm" TargetMode="External"/><Relationship Id="rId204" Type="http://schemas.openxmlformats.org/officeDocument/2006/relationships/hyperlink" Target="https://www.sec.gov/Archives/edgar/data/1489993/000162828026025811/exhibit103-sx1.htm" TargetMode="External"/><Relationship Id="rId205" Type="http://schemas.openxmlformats.org/officeDocument/2006/relationships/hyperlink" Target="https://www.sec.gov/Archives/edgar/data/1489993/000162828026025811/exhibit1031-sx1.htm" TargetMode="External"/><Relationship Id="rId206" Type="http://schemas.openxmlformats.org/officeDocument/2006/relationships/hyperlink" Target="https://www.sec.gov/Archives/edgar/data/1489993/000162828026025811/exhibit1032-sx1.htm" TargetMode="External"/><Relationship Id="rId207" Type="http://schemas.openxmlformats.org/officeDocument/2006/relationships/hyperlink" Target="https://www.sec.gov/Archives/edgar/data/1489993/000162828026032889/exhibit103-sx8.htm" TargetMode="External"/><Relationship Id="rId208" Type="http://schemas.openxmlformats.org/officeDocument/2006/relationships/hyperlink" Target="https://www.sec.gov/Archives/edgar/data/1489993/000162828026032889/exhibit1031-sx8.htm" TargetMode="External"/><Relationship Id="rId209" Type="http://schemas.openxmlformats.org/officeDocument/2006/relationships/hyperlink" Target="https://www.sec.gov/Archives/edgar/data/1489993/000162828026032889/exhibit1032-sx8.htm" TargetMode="External"/><Relationship Id="rId210" Type="http://schemas.openxmlformats.org/officeDocument/2006/relationships/hyperlink" Target="https://www.sec.gov/Archives/edgar/data/1489993/000162828026032889/exhibit104-sx8.htm" TargetMode="External"/><Relationship Id="rId211" Type="http://schemas.openxmlformats.org/officeDocument/2006/relationships/hyperlink" Target="https://www.sec.gov/Archives/edgar/data/1489993/000162828026025811/exhibit106-sx1.htm" TargetMode="External"/><Relationship Id="rId212" Type="http://schemas.openxmlformats.org/officeDocument/2006/relationships/hyperlink" Target="https://www.sec.gov/Archives/edgar/data/1489993/000162828026025811/exhibit1012-sx1.htm" TargetMode="External"/><Relationship Id="rId213" Type="http://schemas.openxmlformats.org/officeDocument/2006/relationships/hyperlink" Target="https://www.sec.gov/Archives/edgar/data/1489993/000162828026025811/exhibit1013-sx1.htm" TargetMode="External"/><Relationship Id="rId214" Type="http://schemas.openxmlformats.org/officeDocument/2006/relationships/hyperlink" Target="https://www.sec.gov/Archives/edgar/data/1489993/000162828026025811/exhibit1014-sx1.htm" TargetMode="External"/><Relationship Id="rId215" Type="http://schemas.openxmlformats.org/officeDocument/2006/relationships/hyperlink" Target="https://www.sec.gov/Archives/edgar/data/1489993/000162828026025811/exhibit1015-sx1.htm" TargetMode="External"/><Relationship Id="rId216" Type="http://schemas.openxmlformats.org/officeDocument/2006/relationships/hyperlink" Target="https://www.sec.gov/Archives/edgar/data/1489993/000162828026025811/exhibit1016-sx1.htm" TargetMode="External"/><Relationship Id="rId217" Type="http://schemas.openxmlformats.org/officeDocument/2006/relationships/hyperlink" Target="https://www.sec.gov/Archives/edgar/data/1489993/000162828026025811/exhibit1017-sx1.htm" TargetMode="External"/><Relationship Id="rId218" Type="http://schemas.openxmlformats.org/officeDocument/2006/relationships/hyperlink" Target="https://www.sec.gov/Archives/edgar/data/1489993/000162828026025811/exhibit1018-sx1.htm" TargetMode="External"/><Relationship Id="rId219" Type="http://schemas.openxmlformats.org/officeDocument/2006/relationships/hyperlink" Target="https://www.sec.gov/Archives/edgar/data/1489993/000162828026025811/exhibit41-sx1.htm" TargetMode="External"/><Relationship Id="rId221" Type="http://schemas.openxmlformats.org/officeDocument/2006/relationships/hyperlink" Target="https://www.sec.gov/Archives/edgar/data/1489993/000162828026025811/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2026-06-04T15:44:38Z</dcterms:created>
  <dcterms:modified xsi:type="dcterms:W3CDTF">2026-06-04T15:44:38Z</dcterms:modified>
</cp:coreProperties>
</file>